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1346-2025 i Ljusdals kommun</w:t>
      </w:r>
    </w:p>
    <w:p>
      <w:r>
        <w:t>Detta klagomål behandlar höga naturvärden i samrådsanmälan S 1346-2025 i Ljusdals kommun som inkom 2025-04-25 och omfattar 8,1 ha.</w:t>
      </w:r>
    </w:p>
    <w:p>
      <w:pPr>
        <w:pStyle w:val="Caption"/>
      </w:pPr>
      <w:r>
        <w:drawing>
          <wp:inline xmlns:a="http://schemas.openxmlformats.org/drawingml/2006/main" xmlns:pic="http://schemas.openxmlformats.org/drawingml/2006/picture">
            <wp:extent cx="5486400" cy="3190031"/>
            <wp:docPr id="1" name="Picture 1"/>
            <wp:cNvGraphicFramePr>
              <a:graphicFrameLocks noChangeAspect="1"/>
            </wp:cNvGraphicFramePr>
            <a:graphic>
              <a:graphicData uri="http://schemas.openxmlformats.org/drawingml/2006/picture">
                <pic:pic>
                  <pic:nvPicPr>
                    <pic:cNvPr id="0" name="S 1346-2025 karta.png"/>
                    <pic:cNvPicPr/>
                  </pic:nvPicPr>
                  <pic:blipFill>
                    <a:blip r:embed="rId16"/>
                    <a:stretch>
                      <a:fillRect/>
                    </a:stretch>
                  </pic:blipFill>
                  <pic:spPr>
                    <a:xfrm>
                      <a:off x="0" y="0"/>
                      <a:ext cx="5486400" cy="3190031"/>
                    </a:xfrm>
                    <a:prstGeom prst="rect"/>
                  </pic:spPr>
                </pic:pic>
              </a:graphicData>
            </a:graphic>
          </wp:inline>
        </w:drawing>
      </w:r>
    </w:p>
    <w:p>
      <w:pPr>
        <w:pStyle w:val="Caption"/>
        <w:spacing w:after="240"/>
      </w:pPr>
      <w:r>
        <w:t>Figur 1. Fyndplatser för naturvårdsarter i och inom 20 meter från samrådsanmälan. Markörer utan svart kant är placerade på fyndplatsen. Markörer med svart kant är placerade vid sidan av fyndplatsen och har ett svart streck som visar fyndplatsens exakta position. Kartans mittpunktskoordinat är N 6871846, E 560520 i SWEREF 99 TM.</w:t>
      </w:r>
    </w:p>
    <w:p>
      <w:r>
        <w:t>I och inom 20 meter från samrådsanmälan finns fynd av 17 naturvårdsarter, varav 17 är rödlistade och 7 är typiska (T): garnlav (VU, T), goliatmusseron (VU, T), lammticka (VU), skrovlig taggsvamp (VU), tallgråticka (VU), torrmusseron (VU), barrfagerspindling (NT), blå taggsvamp (NT, T), dropptaggsvamp (NT, T), motaggsvamp (NT, T), mörk kolflarnlav (NT), orange taggsvamp (NT, T), skarp dropptaggsvamp (NT), tallfingersvamp (NT), talltaggsvamp (NT), tallticka (NT, T) och vaddporing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Lammticka (VU)</w:t>
      </w:r>
      <w:r>
        <w:t xml:space="preserve"> bildar mykorrhiza med tall och växer i tämligen öppna barrskogar ofta magra tallhedar, gärna på sandig mark.</w:t>
      </w:r>
      <w:r>
        <w:rPr>
          <w:b/>
        </w:rPr>
        <w:t xml:space="preserve"> </w:t>
      </w:r>
      <w:r>
        <w:t>Arten är placerad högst upp i Skogsstyrelsens värdepyramid för bedömning av skog med höga naturvärden och tål inte slutavverkning (SLU Artdatabanken, 2024; Nitare &amp; Skogsstyrelsen, 2019).</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Tallgråticka (VU)</w:t>
      </w:r>
      <w:r>
        <w:t xml:space="preserve"> bildar mykorrhiza med tall och växer främst i ljusöppna skogar på torr, sandig/grusig mark. Den är placerad högst upp i Skogsstyrelsens värdepyramid för bedömning av skog med höga naturvärden och indikerar skyddsvärda tallnaturskogar på sand där det funnits ett ständigt inslag av äldre träd. Tallgråticka är globalt rödlistad som nära hotad (NT) vilket innebär att Sverige har ett internationellt ansvar för arten (SLU Artdatabanken, 2024; Nitare &amp; Skogsstyrelsen, 2019; IUCN, 2020).</w:t>
      </w:r>
    </w:p>
    <w:p>
      <w:r>
        <w:rPr>
          <w:b/>
        </w:rPr>
        <w:t xml:space="preserve">Torrmusseron (VU) </w:t>
      </w:r>
      <w:r>
        <w:t>bildar mykorrhiza med tall, huvudsakligen på sandig mark på magra äldre tallhedar med tunt fältskikt. Bara påträffad i äldre skog med naturskogskaraktär eller skogar som plock- eller dimensionsavverkats. Bedöms ha svårt att återetableras efter kalavverkning och slutavverkning, markberedning och gödsling bör ej förekomma på kända lokaler (SLU Artdatabanken, 2024).</w:t>
      </w:r>
    </w:p>
    <w:p>
      <w:r>
        <w:rPr>
          <w:b/>
        </w:rPr>
        <w:t>Barrfagerspindling (NT)</w:t>
      </w:r>
      <w:r>
        <w:t xml:space="preserve"> bildar mykorrhiza med gran, möjligen också med tall, i äldre kalkbarrskog. Den totala populationen i landet har minskat och bedöms fortsätta minska till följd av avverkning av äldre kalkbarrskog. Arten har begränsad förmåga att återetablera sig efter slutavverkning eller andra storskaliga skogsbruksåtgärder, och det finns inga indikationer på att den långsiktigt kan etablera eller reproducera sig i bestånd som brukas med trakthyggesmetoder, markberedning, gödsling eller förädlat plantmaterial. Minskningstakten för den svenska populationen bedöms vara nära gränsvärdet för Sårbar (VU) (SLU Artdatabanken, 2026).</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Tallfingersvamp (NT) </w:t>
      </w:r>
      <w:r>
        <w:t>bildar mykorrhiza med tall och gran i äldre barrskog, framför allt sandtallskog men även i annan näringsfattig barrskog, huvudsakligen i äldre kontinuitetsskog. Den totala populationen i landet har minskat och bedöms fortsätta minska till följd av avverkning av barrskogar med trädkontinuitet. Minskningstakten för den svenska populationen bedöms vara nära gränsvärdet för Sårbar (VU). Slutavverkning, gödsling eller exploatering måste undvikas (SLU Artdatabanken, 2026).</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17 naturvårdsarter varav 17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