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211173"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2111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30 naturvårdsarter, varav 24 är rödlistade, 5 är fridlysta, 18 är typiska (T) och 4 är signalarter (S): garnlav (VU, T), knärot (VU, T, §8), skrovlig taggsvamp (VU), spadskinn (VU), tallmusseron (VU), blå taggsvamp (NT, T), blågrå svartspik (NT), dropptaggsvamp (NT, T), dvärgbägarlav (NT, T), kolflarnlav (NT, T), lunglav (NT, T), mjölsvärting (NT), mörk kolflarnlav (NT), skrovellav (NT, T), svart taggsvamp (NT), tallticka (NT, T), talltita (NT, §4), tretåig hackspett (NT, T, §4), ullticka (NT, T), vaddporing (NT), vedflamlav (NT), vedskivlav (NT, T), violettgrå tagellav (NT, T), vitgrynig nållav (NT), luddlav (S, T), nästlav (S, T), stuplav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