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22786-2024 i Ljusdals kommun</w:t>
      </w:r>
    </w:p>
    <w:p>
      <w:r>
        <w:t>Detta klagomål behandlar höga naturvärden i avverkningsanmälan A 22786-2024 i Ljusdals kommun som inkom 2024-06-05 och omfattar 4,2 ha.</w:t>
      </w:r>
    </w:p>
    <w:p>
      <w:pPr>
        <w:pStyle w:val="Caption"/>
      </w:pPr>
      <w:r>
        <w:drawing>
          <wp:inline xmlns:a="http://schemas.openxmlformats.org/drawingml/2006/main" xmlns:pic="http://schemas.openxmlformats.org/drawingml/2006/picture">
            <wp:extent cx="4211369" cy="5724000"/>
            <wp:docPr id="1" name="Picture 1"/>
            <wp:cNvGraphicFramePr>
              <a:graphicFrameLocks noChangeAspect="1"/>
            </wp:cNvGraphicFramePr>
            <a:graphic>
              <a:graphicData uri="http://schemas.openxmlformats.org/drawingml/2006/picture">
                <pic:pic>
                  <pic:nvPicPr>
                    <pic:cNvPr id="0" name="A 22786-2024 karta.png"/>
                    <pic:cNvPicPr/>
                  </pic:nvPicPr>
                  <pic:blipFill>
                    <a:blip r:embed="rId16"/>
                    <a:stretch>
                      <a:fillRect/>
                    </a:stretch>
                  </pic:blipFill>
                  <pic:spPr>
                    <a:xfrm>
                      <a:off x="0" y="0"/>
                      <a:ext cx="4211369"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6858734, E 521614 i SWEREF 99 TM.</w:t>
      </w:r>
    </w:p>
    <w:p>
      <w:r>
        <w:t>Inom 13 meter från avverkningsanmälan finns fynd av 3 naturvårdsarter, varav 3 är rödlistade och 1 är typisk (T): vedspik (VU),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Vedspik (VU)</w:t>
      </w:r>
      <w:r>
        <w:t xml:space="preserve"> förekommer nästan uteslutande på gammal obehandlad ved. Den finns dels på kulturskapade ståndorter som stängsel, väggar av trälador etc., dels på naturliga ståndorter som olikåldriga skogar eller hagmarker med lång trädkontinuitet. Här förekommer arten på stubbar och avbarkade partier av barr- och lövträd som fortfarande lever och står upp. Den kan också växa på grova nedfallna grenar. Bristen på nedfallna grova grenar, högstubbar och torrakor i dagens skogar är ett hot. I skogar och myrkanter med arten måste högstubbar och torrakor finnas i tillräcklig mängd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