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18631-2022 i Ljusdals kommun</w:t>
      </w:r>
    </w:p>
    <w:p>
      <w:r>
        <w:t>Denna tillsynsbegäran behandlar höga naturvärden i avverkningsanmälan A 18631-2022 i Ljusdals kommun som inkom 2022-05-06 och omfattar 17,0 ha.</w:t>
      </w:r>
    </w:p>
    <w:p>
      <w:pPr>
        <w:pStyle w:val="Caption"/>
      </w:pPr>
      <w:r>
        <w:drawing>
          <wp:inline xmlns:a="http://schemas.openxmlformats.org/drawingml/2006/main" xmlns:pic="http://schemas.openxmlformats.org/drawingml/2006/picture">
            <wp:extent cx="5486400" cy="4260915"/>
            <wp:docPr id="1" name="Picture 1"/>
            <wp:cNvGraphicFramePr>
              <a:graphicFrameLocks noChangeAspect="1"/>
            </wp:cNvGraphicFramePr>
            <a:graphic>
              <a:graphicData uri="http://schemas.openxmlformats.org/drawingml/2006/picture">
                <pic:pic>
                  <pic:nvPicPr>
                    <pic:cNvPr id="0" name="A 18631-2022 karta.png"/>
                    <pic:cNvPicPr/>
                  </pic:nvPicPr>
                  <pic:blipFill>
                    <a:blip r:embed="rId16"/>
                    <a:stretch>
                      <a:fillRect/>
                    </a:stretch>
                  </pic:blipFill>
                  <pic:spPr>
                    <a:xfrm>
                      <a:off x="0" y="0"/>
                      <a:ext cx="5486400" cy="4260915"/>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6897067, E 538551 i SWEREF 99 TM.</w:t>
      </w:r>
    </w:p>
    <w:p>
      <w:r>
        <w:t>I och inom 10 meter från avverkningsanmälan finns fynd av 14 naturvårdsarter, varav 8 är rödlistade, 4 är fridlysta, 11 är typiska (T) och 4 är signalarter (S): knärot (VU, T, §8), blanksvart spiklav (NT), blågrå svartspik (NT), kolflarnlav (NT, T), lunglav (NT, T), mörk kolflarnlav (NT), skrovellav (NT, T), tretåig hackspett (NT, T, §4), bårdlav (S, T), rävticka (S, T), skinnlav (S, T), stuplav (S, 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0.30 ha med buffertzonerna och får av detta skäl inte avverkas.</w:t>
      </w:r>
    </w:p>
    <w:p>
      <w:pPr>
        <w:pStyle w:val="Caption"/>
      </w:pPr>
      <w:r>
        <w:drawing>
          <wp:inline xmlns:a="http://schemas.openxmlformats.org/drawingml/2006/main" xmlns:pic="http://schemas.openxmlformats.org/drawingml/2006/picture">
            <wp:extent cx="5486400" cy="4012048"/>
            <wp:docPr id="2" name="Picture 2"/>
            <wp:cNvGraphicFramePr>
              <a:graphicFrameLocks noChangeAspect="1"/>
            </wp:cNvGraphicFramePr>
            <a:graphic>
              <a:graphicData uri="http://schemas.openxmlformats.org/drawingml/2006/picture">
                <pic:pic>
                  <pic:nvPicPr>
                    <pic:cNvPr id="0" name="A 18631-2022 karta knärot.png"/>
                    <pic:cNvPicPr/>
                  </pic:nvPicPr>
                  <pic:blipFill>
                    <a:blip r:embed="rId17"/>
                    <a:stretch>
                      <a:fillRect/>
                    </a:stretch>
                  </pic:blipFill>
                  <pic:spPr>
                    <a:xfrm>
                      <a:off x="0" y="0"/>
                      <a:ext cx="5486400" cy="401204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6897067, E 538551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Rävticka</w:t>
      </w:r>
      <w:r>
        <w:t xml:space="preserve"> är typisk art för </w:t>
      </w:r>
      <w:r>
        <w:rPr>
          <w:i/>
        </w:rPr>
        <w:t xml:space="preserve">9010 Taiga </w:t>
      </w:r>
      <w:r>
        <w:t>(SLU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kolflarnlav (NT, T), lunglav (NT, T), skrovellav (NT, T), tretåig hackspett (NT, T, §4), bårdlav (S, T), rävticka (S, T), skinnlav (S, T), stuplav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