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60015-2025 i Ljusdals kommun</w:t>
      </w:r>
    </w:p>
    <w:p>
      <w:r>
        <w:t>Denna tillsynsbegäran behandlar höga naturvärden i avverkningsanmälan A 60015-2025 i Ljusdals kommun som inkom 2025-12-02 och omfattar 27,5 ha.</w:t>
      </w:r>
    </w:p>
    <w:p>
      <w:pPr>
        <w:pStyle w:val="Caption"/>
      </w:pPr>
      <w:r>
        <w:drawing>
          <wp:inline xmlns:a="http://schemas.openxmlformats.org/drawingml/2006/main" xmlns:pic="http://schemas.openxmlformats.org/drawingml/2006/picture">
            <wp:extent cx="5486400" cy="5493312"/>
            <wp:docPr id="1" name="Picture 1"/>
            <wp:cNvGraphicFramePr>
              <a:graphicFrameLocks noChangeAspect="1"/>
            </wp:cNvGraphicFramePr>
            <a:graphic>
              <a:graphicData uri="http://schemas.openxmlformats.org/drawingml/2006/picture">
                <pic:pic>
                  <pic:nvPicPr>
                    <pic:cNvPr id="0" name="A 60015-2025 karta.png"/>
                    <pic:cNvPicPr/>
                  </pic:nvPicPr>
                  <pic:blipFill>
                    <a:blip r:embed="rId16"/>
                    <a:stretch>
                      <a:fillRect/>
                    </a:stretch>
                  </pic:blipFill>
                  <pic:spPr>
                    <a:xfrm>
                      <a:off x="0" y="0"/>
                      <a:ext cx="5486400" cy="549331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6820944, E 490824 i SWEREF 99 TM.</w:t>
      </w:r>
    </w:p>
    <w:p>
      <w:r>
        <w:t>I och inom 25 meter från avverkningsanmälan finns fynd av 47 naturvårdsarter, varav 28 är rödlistade, 13 är fridlysta, 27 är typiska (T) och 12 är signalarter (S): garnlav (VU, T), gräddporing (VU, T), knärot (VU, T, §8), blanksvart spiklav (NT), blågrå svartspik (NT), dropptaggsvamp (NT, T), dvärgbägarlav (NT, T), fjällig taggsvamp s.str. (NT), gammelgransskål (NT, T), grantaggsvamp (NT), grönhjon (NT), kolflarnlav (NT, T), kortskaftad ärgspik (NT), lunglav (NT, T), motaggsvamp (NT, T), mörk kolflarnlav (NT), nordtagging (NT), skrovellav (NT, T), stjärntagging (NT, T), svartvit taggsvamp (NT), talltita (NT, §4), tretåig hackspett (NT, T, §4), vedskivlav (NT, T), vedtrappmossa (NT, T), violettgrå tagellav (NT, T), violmussling (NT, T), vitgrynig nållav (NT), vitplätt (NT), björksplintborre (S), gytterlav (S, T), korallrot (S, T, §8), mindre märgborre (S, T), norrlandslav (S, T), nästlav (S, T), plattlummer (S, T, §9), spindelblomster (S, T, §8), stuplav (S, T), vedticka (S, T), vågbandad barkbock (S), zontaggsvamp (S), spillkråka (T, §4), tjäder (T, §4), orre (§4), vanlig groda (§6), vanlig padda (§6),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3.88 ha med buffertzonerna och får av detta skäl inte avverkas.</w:t>
      </w:r>
    </w:p>
    <w:p>
      <w:pPr>
        <w:pStyle w:val="Caption"/>
      </w:pPr>
      <w:r>
        <w:drawing>
          <wp:inline xmlns:a="http://schemas.openxmlformats.org/drawingml/2006/main" xmlns:pic="http://schemas.openxmlformats.org/drawingml/2006/picture">
            <wp:extent cx="5486400" cy="6790908"/>
            <wp:docPr id="2" name="Picture 2"/>
            <wp:cNvGraphicFramePr>
              <a:graphicFrameLocks noChangeAspect="1"/>
            </wp:cNvGraphicFramePr>
            <a:graphic>
              <a:graphicData uri="http://schemas.openxmlformats.org/drawingml/2006/picture">
                <pic:pic>
                  <pic:nvPicPr>
                    <pic:cNvPr id="0" name="A 60015-2025 karta knärot.png"/>
                    <pic:cNvPicPr/>
                  </pic:nvPicPr>
                  <pic:blipFill>
                    <a:blip r:embed="rId17"/>
                    <a:stretch>
                      <a:fillRect/>
                    </a:stretch>
                  </pic:blipFill>
                  <pic:spPr>
                    <a:xfrm>
                      <a:off x="0" y="0"/>
                      <a:ext cx="5486400" cy="67909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6820944, E 490824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knärot (VU, T, §8), dropptaggsvamp (NT, T), dvärgbägarlav (NT, T), gammelgransskål (NT, T), kolflarnlav (NT, T), lunglav (NT, T), motaggsvamp (NT, T), skrovellav (NT, T), stjärntagging (NT, T), tretåig hackspett (NT, T, §4), vedskivlav (NT, T), vedtrappmossa (NT, T), violettgrå tagellav (NT, T), violmussling (NT, T), gytterlav (S, T), korallrot (S, T, §8), mindre märgborre (S, T), norrlandslav (S, T), nästlav (S, T), plattlummer (S, T, §9), spindelblomster (S, T, §8), stuplav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