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3180-2025 i Ljusdals kommun</w:t>
      </w:r>
    </w:p>
    <w:p>
      <w:r>
        <w:t>Denna tillsynsbegäran behandlar höga naturvärden i avverkningsanmälan A 3180-2025 i Ljusdals kommun som inkom 2025-01-22 och omfattar 13,5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3180-2025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6847306, E 494809 i SWEREF 99 TM.</w:t>
      </w:r>
    </w:p>
    <w:p>
      <w:r>
        <w:t>I och inom 22 meter från avverkningsanmälan finns fynd av 17 naturvårdsarter, varav 11 är rödlistade, 7 är fridlysta, 11 är typiska (T) och 4 är signalarter (S): garnlav (VU, T), knärot (VU, T, §8), dvärgbägarlav (NT, T), kolflarnlav (NT, T), lunglav (NT, T), mörk kolflarnlav (NT), skrovellav (NT, T), talltita (NT, §4), tretåig hackspett (NT, T, §4), ullticka (NT, T), vedflamlav (NT), luddlav (S, T), spindelblomster (S, T, §8), stuplav (S, T), tvåblad (S,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10905344"/>
            <wp:docPr id="2" name="Picture 2"/>
            <wp:cNvGraphicFramePr>
              <a:graphicFrameLocks noChangeAspect="1"/>
            </wp:cNvGraphicFramePr>
            <a:graphic>
              <a:graphicData uri="http://schemas.openxmlformats.org/drawingml/2006/picture">
                <pic:pic>
                  <pic:nvPicPr>
                    <pic:cNvPr id="0" name="A 3180-2025 karta knärot.png"/>
                    <pic:cNvPicPr/>
                  </pic:nvPicPr>
                  <pic:blipFill>
                    <a:blip r:embed="rId17"/>
                    <a:stretch>
                      <a:fillRect/>
                    </a:stretch>
                  </pic:blipFill>
                  <pic:spPr>
                    <a:xfrm>
                      <a:off x="0" y="0"/>
                      <a:ext cx="5486400" cy="10905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6847306, E 494809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lunglav (NT, T), skrovellav (NT, T), tretåig hackspett (NT, T, §4), ullticka (NT, T), luddlav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