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25389-2025 i Ljusdals kommun</w:t>
      </w:r>
    </w:p>
    <w:p>
      <w:r>
        <w:t>Detta klagomål behandlar höga naturvärden i avverkningsanmälan A 25389-2025 i Ljusdals kommun som inkom 2025-05-23 och omfattar 41,1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25389-2025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6828996, E 483404 i SWEREF 99 TM.</w:t>
      </w:r>
    </w:p>
    <w:p>
      <w:r>
        <w:t>I och inom 4 meter från avverkningsanmälan finns fynd av 27 naturvårdsarter, varav 18 är rödlistade, 7 är fridlysta, 20 är typiska (T) och 4 är signalarter (S): flodpärlmussla (EN), garnlav (VU, T), gräddporing (VU, T), gränsticka (VU, T), blanksvart spiklav (NT), dropptaggsvamp (NT, T), dvärgbägarlav (NT, T), kolflarnlav (NT, T), lunglav (NT, T), mörk kolflarnlav (NT), skrovellav (NT, T), talltagel (NT, T), talltita (NT, §4), tretåig hackspett (NT, T, §4), ullticka (NT, T), vedflamlav (NT), vedskivlav (NT, T), violettgrå tagellav (NT, T), bårdlav (S, T), nästlav (S, T), stuplav (S, T), vedticka (S, T), järpe (T, §4), spillkråka (T, §4), tjäder (T, §4), grönsiska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