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7148-2023 i Ljusdals kommun</w:t>
      </w:r>
    </w:p>
    <w:p>
      <w:r>
        <w:t>Detta klagomål behandlar höga naturvärden i avverkningsanmälan A 7148-2023 i Ljusdals kommun som inkom 2023-02-13 och omfattar 4,9 ha.</w:t>
      </w:r>
    </w:p>
    <w:p>
      <w:pPr>
        <w:pStyle w:val="Caption"/>
      </w:pPr>
      <w:r>
        <w:drawing>
          <wp:inline xmlns:a="http://schemas.openxmlformats.org/drawingml/2006/main" xmlns:pic="http://schemas.openxmlformats.org/drawingml/2006/picture">
            <wp:extent cx="5486400" cy="4198699"/>
            <wp:docPr id="1" name="Picture 1"/>
            <wp:cNvGraphicFramePr>
              <a:graphicFrameLocks noChangeAspect="1"/>
            </wp:cNvGraphicFramePr>
            <a:graphic>
              <a:graphicData uri="http://schemas.openxmlformats.org/drawingml/2006/picture">
                <pic:pic>
                  <pic:nvPicPr>
                    <pic:cNvPr id="0" name="A 7148-2023 karta.png"/>
                    <pic:cNvPicPr/>
                  </pic:nvPicPr>
                  <pic:blipFill>
                    <a:blip r:embed="rId16"/>
                    <a:stretch>
                      <a:fillRect/>
                    </a:stretch>
                  </pic:blipFill>
                  <pic:spPr>
                    <a:xfrm>
                      <a:off x="0" y="0"/>
                      <a:ext cx="5486400" cy="419869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6849376, E 566046 i SWEREF 99 TM.</w:t>
      </w:r>
    </w:p>
    <w:p>
      <w:r>
        <w:t>I och inom 23 meter från avverkningsanmälan finns fynd av 6 naturvårdsarter, varav 4 är rödlistade, 5 är typiska (T) och 2 är signalarter (S): garnlav (VU, T), dropptaggsvamp (NT, T), gammelgransskål (NT, T), vitgrynig nållav (NT), bollvitmossa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062953"/>
            <wp:docPr id="2" name="Picture 2"/>
            <wp:cNvGraphicFramePr>
              <a:graphicFrameLocks noChangeAspect="1"/>
            </wp:cNvGraphicFramePr>
            <a:graphic>
              <a:graphicData uri="http://schemas.openxmlformats.org/drawingml/2006/picture">
                <pic:pic>
                  <pic:nvPicPr>
                    <pic:cNvPr id="0" name="A 7148-2023 karta knärot.png"/>
                    <pic:cNvPicPr/>
                  </pic:nvPicPr>
                  <pic:blipFill>
                    <a:blip r:embed="rId17"/>
                    <a:stretch>
                      <a:fillRect/>
                    </a:stretch>
                  </pic:blipFill>
                  <pic:spPr>
                    <a:xfrm>
                      <a:off x="0" y="0"/>
                      <a:ext cx="5486400" cy="40629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6849376, E 566046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