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22554-2023 i Ljusdals kommun</w:t>
      </w:r>
    </w:p>
    <w:p>
      <w:r>
        <w:t>Detta klagomål behandlar höga naturvärden i avverkningsanmälan A 22554-2023 i Ljusdals kommun som inkom 2023-05-25 och omfattar 7,1 ha.</w:t>
      </w:r>
    </w:p>
    <w:p>
      <w:pPr>
        <w:pStyle w:val="Caption"/>
      </w:pPr>
      <w:r>
        <w:drawing>
          <wp:inline xmlns:a="http://schemas.openxmlformats.org/drawingml/2006/main" xmlns:pic="http://schemas.openxmlformats.org/drawingml/2006/picture">
            <wp:extent cx="5486400" cy="5222579"/>
            <wp:docPr id="1" name="Picture 1"/>
            <wp:cNvGraphicFramePr>
              <a:graphicFrameLocks noChangeAspect="1"/>
            </wp:cNvGraphicFramePr>
            <a:graphic>
              <a:graphicData uri="http://schemas.openxmlformats.org/drawingml/2006/picture">
                <pic:pic>
                  <pic:nvPicPr>
                    <pic:cNvPr id="0" name="A 22554-2023 karta.png"/>
                    <pic:cNvPicPr/>
                  </pic:nvPicPr>
                  <pic:blipFill>
                    <a:blip r:embed="rId16"/>
                    <a:stretch>
                      <a:fillRect/>
                    </a:stretch>
                  </pic:blipFill>
                  <pic:spPr>
                    <a:xfrm>
                      <a:off x="0" y="0"/>
                      <a:ext cx="5486400" cy="5222579"/>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6820441, E 499204 i SWEREF 99 TM.</w:t>
      </w:r>
    </w:p>
    <w:p>
      <w:r>
        <w:t>I och inom 24 meter från avverkningsanmälan finns fynd av 14 naturvårdsarter, varav 9 är rödlistade, 2 är fridlysta, 10 är typiska (T) och 4 är signalarter (S): garnlav (VU, T), knärot (VU, T, §8), kolflarnlav (NT, T), kortskaftad ärgspik (NT), lunglav (NT, T), mörk kolflarnlav (NT), skrovellav (NT, T), vedskivlav (NT, T), vitgrynig nållav (NT), bronshjon (S, T), mindre märgborre (S, T), skinnlav (S, T), stuplav (S,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1.98 ha med buffertzonerna och får av detta skäl inte avverkas.</w:t>
      </w:r>
    </w:p>
    <w:p>
      <w:pPr>
        <w:pStyle w:val="Caption"/>
      </w:pPr>
      <w:r>
        <w:drawing>
          <wp:inline xmlns:a="http://schemas.openxmlformats.org/drawingml/2006/main" xmlns:pic="http://schemas.openxmlformats.org/drawingml/2006/picture">
            <wp:extent cx="5486400" cy="6702529"/>
            <wp:docPr id="2" name="Picture 2"/>
            <wp:cNvGraphicFramePr>
              <a:graphicFrameLocks noChangeAspect="1"/>
            </wp:cNvGraphicFramePr>
            <a:graphic>
              <a:graphicData uri="http://schemas.openxmlformats.org/drawingml/2006/picture">
                <pic:pic>
                  <pic:nvPicPr>
                    <pic:cNvPr id="0" name="A 22554-2023 karta knärot.png"/>
                    <pic:cNvPicPr/>
                  </pic:nvPicPr>
                  <pic:blipFill>
                    <a:blip r:embed="rId17"/>
                    <a:stretch>
                      <a:fillRect/>
                    </a:stretch>
                  </pic:blipFill>
                  <pic:spPr>
                    <a:xfrm>
                      <a:off x="0" y="0"/>
                      <a:ext cx="5486400" cy="670252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6820441, E 499204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