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31293-2026 i Ljusdals kommun</w:t>
      </w:r>
    </w:p>
    <w:p>
      <w:r>
        <w:t>Denna tillsynsbegäran behandlar höga naturvärden i avverkningsanmälan A 31293-2026 i Ljusdals kommun som inkom 2026-07-15 och omfattar 47,8 ha.</w:t>
      </w:r>
    </w:p>
    <w:p>
      <w:pPr>
        <w:pStyle w:val="Caption"/>
      </w:pPr>
      <w:r>
        <w:drawing>
          <wp:inline xmlns:a="http://schemas.openxmlformats.org/drawingml/2006/main" xmlns:pic="http://schemas.openxmlformats.org/drawingml/2006/picture">
            <wp:extent cx="4150764" cy="5724000"/>
            <wp:docPr id="1" name="Picture 1"/>
            <wp:cNvGraphicFramePr>
              <a:graphicFrameLocks noChangeAspect="1"/>
            </wp:cNvGraphicFramePr>
            <a:graphic>
              <a:graphicData uri="http://schemas.openxmlformats.org/drawingml/2006/picture">
                <pic:pic>
                  <pic:nvPicPr>
                    <pic:cNvPr id="0" name="A 31293-2026 karta.png"/>
                    <pic:cNvPicPr/>
                  </pic:nvPicPr>
                  <pic:blipFill>
                    <a:blip r:embed="rId16"/>
                    <a:stretch>
                      <a:fillRect/>
                    </a:stretch>
                  </pic:blipFill>
                  <pic:spPr>
                    <a:xfrm>
                      <a:off x="0" y="0"/>
                      <a:ext cx="4150764"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6831102, E 475098 i SWEREF 99 TM.</w:t>
      </w:r>
    </w:p>
    <w:p>
      <w:r>
        <w:t>I och inom 24 meter från avverkningsanmälan finns fynd av 35 naturvårdsarter, varav 26 är rödlistade, 9 är fridlysta, 19 är typiska (T) och 5 är signalarter (S): fläckporing (VU, T), garnlav (VU, T), gräddporing (VU, T), spadskinn (VU), blanksvart spiklav (NT), blå taggsvamp (NT, T), blågrå svartspik (NT), dropptaggsvamp (NT, T), dvärgbägarlav (NT, T), gammelgransskål (NT, T), kolflarnlav (NT, T), lunglav (NT, T), mellanlummer (NT, §9), mörk kolflarnlav (NT), skarp dropptaggsvamp (NT), skrovellav (NT, T), stjärntagging (NT, T), talltita (NT, §4), tretåig hackspett (NT, T, §4), vaddporing (NT), vedflamlav (NT), vedskivlav (NT, T), violettgrå tagellav (NT, T), vitgrynig nållav (NT), vitplätt (NT), äggvaxskivling (NT), nästlav (S, T), plattlummer (S, T, §9), spindelblomster (S, T, §8), stuplav (S, T), vågbandad barkbock (S), tjäder (T, §4), orre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Mellanlummer (NT,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vilket innebär att Sverige har ett internationellt ansvar för arten (SLU Artdatabanken, 2026; IUCN,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blå taggsvamp (NT, T), dropptaggsvamp (NT, T), dvärgbägarlav (NT, T), gammelgransskål (NT, T), kolflarnlav (NT, T), lunglav (NT, T), skrovellav (NT, T), stjärntagging (NT, T), tretåig hackspett (NT, T, §4), vedskivlav (NT, T), violettgrå tagellav (NT, T), nästlav (S, T), plattlummer (S, T, §9), spindelblomster (S, T, §8),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