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2039-2026 i Ljusdals kommun</w:t>
      </w:r>
    </w:p>
    <w:p>
      <w:r>
        <w:t>Denna tillsynsbegäran behandlar höga naturvärden i samrådsanmälan S 2039-2026 i Ljusdals kommun som inkom 2026-07-08 och omfattar 1,6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537848"/>
            <wp:docPr id="1" name="Picture 1"/>
            <wp:cNvGraphicFramePr>
              <a:graphicFrameLocks noChangeAspect="1"/>
            </wp:cNvGraphicFramePr>
            <a:graphic>
              <a:graphicData uri="http://schemas.openxmlformats.org/drawingml/2006/picture">
                <pic:pic>
                  <pic:nvPicPr>
                    <pic:cNvPr id="0" name="S 2039-2026 karta knärot.png"/>
                    <pic:cNvPicPr/>
                  </pic:nvPicPr>
                  <pic:blipFill>
                    <a:blip r:embed="rId16"/>
                    <a:stretch>
                      <a:fillRect/>
                    </a:stretch>
                  </pic:blipFill>
                  <pic:spPr>
                    <a:xfrm>
                      <a:off x="0" y="0"/>
                      <a:ext cx="5486400" cy="653784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6841939, E 561218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