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24-2023 i Ljusdals kommun</w:t>
      </w:r>
    </w:p>
    <w:p>
      <w:r>
        <w:t>Denna tillsynsbegäran behandlar höga naturvärden i samrådsanmälan S 24-2023 i Ljusdals kommun som inkom 2022-12-09 och omfattar 544,2 ha.</w:t>
      </w:r>
    </w:p>
    <w:p>
      <w:pPr>
        <w:pStyle w:val="Caption"/>
      </w:pPr>
      <w:r>
        <w:drawing>
          <wp:inline xmlns:a="http://schemas.openxmlformats.org/drawingml/2006/main" xmlns:pic="http://schemas.openxmlformats.org/drawingml/2006/picture">
            <wp:extent cx="4252676" cy="5724000"/>
            <wp:docPr id="1" name="Picture 1"/>
            <wp:cNvGraphicFramePr>
              <a:graphicFrameLocks noChangeAspect="1"/>
            </wp:cNvGraphicFramePr>
            <a:graphic>
              <a:graphicData uri="http://schemas.openxmlformats.org/drawingml/2006/picture">
                <pic:pic>
                  <pic:nvPicPr>
                    <pic:cNvPr id="0" name="S 24-2023 karta.png"/>
                    <pic:cNvPicPr/>
                  </pic:nvPicPr>
                  <pic:blipFill>
                    <a:blip r:embed="rId16"/>
                    <a:stretch>
                      <a:fillRect/>
                    </a:stretch>
                  </pic:blipFill>
                  <pic:spPr>
                    <a:xfrm>
                      <a:off x="0" y="0"/>
                      <a:ext cx="425267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6867107, E 564781 i SWEREF 99 TM.</w:t>
      </w:r>
    </w:p>
    <w:p>
      <w:r>
        <w:t>I och inom 24 meter från samrådsanmälan finns fynd av 10 naturvårdsarter, varav 3 är rödlistade, 9 är fridlysta, 3 är typiska (T) och 1 är signalart (S): duvhök (NT, §4), enkelbeckasin (NT, §4), rödvingetrast (NT, §4), skinnlav (S, T), spillkråka (T, §4), tjäder (T, §4), fjällvråk (§4),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