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32098-2023 i Ljusdals kommun</w:t>
      </w:r>
    </w:p>
    <w:p>
      <w:r>
        <w:t>Denna tillsynsbegäran behandlar höga naturvärden i avverkningsanmälan A 32098-2023 i Ljusdals kommun som inkom 2023-07-12 och omfattar 1,5 ha.</w:t>
      </w:r>
    </w:p>
    <w:p>
      <w:pPr>
        <w:pStyle w:val="Caption"/>
      </w:pPr>
      <w:r>
        <w:drawing>
          <wp:inline xmlns:a="http://schemas.openxmlformats.org/drawingml/2006/main" xmlns:pic="http://schemas.openxmlformats.org/drawingml/2006/picture">
            <wp:extent cx="5486400" cy="4809555"/>
            <wp:docPr id="1" name="Picture 1"/>
            <wp:cNvGraphicFramePr>
              <a:graphicFrameLocks noChangeAspect="1"/>
            </wp:cNvGraphicFramePr>
            <a:graphic>
              <a:graphicData uri="http://schemas.openxmlformats.org/drawingml/2006/picture">
                <pic:pic>
                  <pic:nvPicPr>
                    <pic:cNvPr id="0" name="A 32098-2023 karta.png"/>
                    <pic:cNvPicPr/>
                  </pic:nvPicPr>
                  <pic:blipFill>
                    <a:blip r:embed="rId16"/>
                    <a:stretch>
                      <a:fillRect/>
                    </a:stretch>
                  </pic:blipFill>
                  <pic:spPr>
                    <a:xfrm>
                      <a:off x="0" y="0"/>
                      <a:ext cx="5486400" cy="480955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6828096, E 555828 i SWEREF 99 TM.</w:t>
      </w:r>
    </w:p>
    <w:p>
      <w:r>
        <w:t>Inom 23 meter från avverkningsanmälan finns fynd av 2 naturvårdsarter, varav 2 är rödlistade: lutvaxing (NT) och mjölrödskivling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Lutvaxing (NT) </w:t>
      </w:r>
      <w:r>
        <w:t>växer mest på magra, ogödslade naturbetes- och slåttermarker men kan även påträffas i subalpin och alpina gräsmarker samt i skogsbryn och på rikare mulljord i ädellövskog. Arten är globalt rödlistad som sårbar (VU) vilket innebär att Sverige har ett internationellt ansvar för arten (SLU Artdatabanken, 2024; IUCN,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