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26489-2025 i Ljusdals kommun</w:t>
      </w:r>
    </w:p>
    <w:p>
      <w:r>
        <w:t>Detta dokument behandlar höga naturvärden i avverkningsanmälan A 26489-2025 i Ljusdals kommun. Denna avverkningsanmälan inkom 2025-05-30 11:35:54 och omfattar 14,8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5 naturvårdsarter hittats: gammelgransskål (NT), garnlav (NT), luddlav (S), fläcknycklar (§8) och revlummer (§9). Av dessa är 2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49174"/>
            <wp:docPr id="1" name="Picture 1"/>
            <wp:cNvGraphicFramePr>
              <a:graphicFrameLocks noChangeAspect="1"/>
            </wp:cNvGraphicFramePr>
            <a:graphic>
              <a:graphicData uri="http://schemas.openxmlformats.org/drawingml/2006/picture">
                <pic:pic>
                  <pic:nvPicPr>
                    <pic:cNvPr id="0" name="A 26489-2025 karta.png"/>
                    <pic:cNvPicPr/>
                  </pic:nvPicPr>
                  <pic:blipFill>
                    <a:blip r:embed="rId16"/>
                    <a:stretch>
                      <a:fillRect/>
                    </a:stretch>
                  </pic:blipFill>
                  <pic:spPr>
                    <a:xfrm>
                      <a:off x="0" y="0"/>
                      <a:ext cx="5486400" cy="434917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6901565, E 548662 i SWEREF 99 TM.</w:t>
      </w:r>
    </w:p>
    <w:p>
      <w:r>
        <w:rPr>
          <w:b/>
        </w:rPr>
        <w:t>Gammelgransskål (NT)</w:t>
      </w:r>
      <w:r>
        <w:t xml:space="preserve"> är en liten skålsvamp som växer på gamla granar med skrovlig bark. Typiska växtplatser är gransumpskog i myrkanter, bäckdråg, bäckraviner och skuggiga bergssluttningar, men också skog på torrare mark kan hysa arten om beståndet har stark naturskogskaraktär. Bestånd med arten bör behandlas som nyckelbiotoper och sparas vid en slutavverkning. Även gallring bör undvikas (SLU Artdatabanken, 2024; Nitare &amp; Skogsstyrelsen, 2019).</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fläcknycklar (§8) och revlummer (§9).</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5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2025-10-28</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