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48020-2021 i Ljusdals kommun</w:t>
      </w:r>
    </w:p>
    <w:p>
      <w:r>
        <w:t>Detta dokument behandlar höga naturvärden i avverkningsanmälan A 48020-2021 i Ljusdals kommun. Denna avverkningsanmälan inkom 2021-09-10 00:00:00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knärot (VU, §8), rynkskinn (VU), sprickporing (VU), vågticka (VU), garnlav (NT), granticka (NT), gränsticka (NT), rosenticka (NT), rödbrun klubbdyna (NT), spillkråka (NT, §4), tretåig hackspett (NT, §4), ullticka (NT), fjällig taggsvamp s.str. (S), mörk husmossa (S), trådticka (S) och nattviol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48020-2021 karta.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6836347, E 558751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klubbdyna (NT)</w:t>
      </w:r>
      <w:r>
        <w:t xml:space="preserve"> är placerad högst upp i Skogsstyrelsens värdepyramid för bedömning av skog med höga naturvärden och indikerar örtrika kalkgranskogar med höga eller mycket höga naturvärden. All form av skogsavverkning eller annan exploatering utgör ett hot och artens växtplatser bör skyddas och lämnas orörda så att en mossrik granskogsmiljö bibehålls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knärot (VU, §8), spillkråka (NT, §4), tretåig hackspett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53 fyndplatser för knärot registrerade på Artportalen. Figur 2 visar gränserna för buffertzoner på 50 m, som behöver lämnas kring fyndplatserna för att knärotslokalerna inte ska försvinna vid en avverkning. Av det avverkningsanmälda området överlappar 5.14 ha med buffertzonerna och får av detta skäl inte avverkas.</w:t>
      </w:r>
    </w:p>
    <w:p>
      <w:pPr>
        <w:pStyle w:val="Caption"/>
      </w:pPr>
      <w:r>
        <w:drawing>
          <wp:inline xmlns:a="http://schemas.openxmlformats.org/drawingml/2006/main" xmlns:pic="http://schemas.openxmlformats.org/drawingml/2006/picture">
            <wp:extent cx="5486400" cy="5834540"/>
            <wp:docPr id="2" name="Picture 2"/>
            <wp:cNvGraphicFramePr>
              <a:graphicFrameLocks noChangeAspect="1"/>
            </wp:cNvGraphicFramePr>
            <a:graphic>
              <a:graphicData uri="http://schemas.openxmlformats.org/drawingml/2006/picture">
                <pic:pic>
                  <pic:nvPicPr>
                    <pic:cNvPr id="0" name="A 48020-2021 karta knärot.png"/>
                    <pic:cNvPicPr/>
                  </pic:nvPicPr>
                  <pic:blipFill>
                    <a:blip r:embed="rId17"/>
                    <a:stretch>
                      <a:fillRect/>
                    </a:stretch>
                  </pic:blipFill>
                  <pic:spPr>
                    <a:xfrm>
                      <a:off x="0" y="0"/>
                      <a:ext cx="5486400" cy="58345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6836347, E 558751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