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31740-2025 i Ljusdals kommun</w:t>
      </w:r>
    </w:p>
    <w:p>
      <w:r>
        <w:t>Detta dokument behandlar höga naturvärden i avverkningsanmälan A 31740-2025 i Ljusdals kommun. Denna avverkningsanmälan inkom 2025-06-26 11:24:07 och omfattar 7,3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w:t>
      </w:r>
    </w:p>
    <w:p>
      <w:pPr>
        <w:pStyle w:val="Heading1"/>
      </w:pPr>
      <w:r>
        <w:t>Naturvårdsarter</w:t>
      </w:r>
    </w:p>
    <w:p>
      <w:r>
        <w:t>I avverkningsanmälan har följande 2 naturvårdsarter hittats: garnlav (NT) och vedskivlav (NT). Av dessa är 2 rödlistade. För rödlistade arter har rödlistekategorin angivits inom parentes.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947033"/>
            <wp:docPr id="1" name="Picture 1"/>
            <wp:cNvGraphicFramePr>
              <a:graphicFrameLocks noChangeAspect="1"/>
            </wp:cNvGraphicFramePr>
            <a:graphic>
              <a:graphicData uri="http://schemas.openxmlformats.org/drawingml/2006/picture">
                <pic:pic>
                  <pic:nvPicPr>
                    <pic:cNvPr id="0" name="A 31740-2025 karta.png"/>
                    <pic:cNvPicPr/>
                  </pic:nvPicPr>
                  <pic:blipFill>
                    <a:blip r:embed="rId16"/>
                    <a:stretch>
                      <a:fillRect/>
                    </a:stretch>
                  </pic:blipFill>
                  <pic:spPr>
                    <a:xfrm>
                      <a:off x="0" y="0"/>
                      <a:ext cx="5486400" cy="494703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6825841, E 489140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r>
        <w:rPr>
          <w:b/>
        </w:rPr>
        <w:t>Vedskivlav (NT)</w:t>
      </w:r>
      <w:r>
        <w:t xml:space="preserve"> växer på gammal, torr, exponerad, hård kärnved av framförallt tall i naturskogsartade bestånd. Avverkning av tallskog av naturskogskaraktär med spår av återkommande bränder är ett hot. Mängden lämplig ved att växa på för vedskivlav minskar, dels på grund av naturlig nedbrytning men framförallt på grund av att de förstörs i samband med slutavverkningar, gallringar och markberedning. Tall- och blandbarrskogar av naturskogskaraktär med spår av återkommande bränder bör skyddas (SLU Artdatabanken, 2024).</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