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35555-2025 i Ljusdals kommun</w:t>
      </w:r>
    </w:p>
    <w:p>
      <w:r>
        <w:t>Detta dokument behandlar höga naturvärden i avverkningsanmälan A 35555-2025 i Ljusdals kommun. Denna avverkningsanmälan inkom 2025-07-18 00:00:00 och omfattar 21,6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12 naturvårdsarter hittats: knärot (VU, §8), garnlav (NT), kolflarnlav (NT), lunglav (NT), mörk kolflarnlav (NT), skrovellav (NT), vedskivlav (NT), violettgrå tagellav (NT), dropptaggsvamp (S), nästlav (S), tjäder (§4) och trana (§4). Av dessa är 8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156466"/>
            <wp:docPr id="1" name="Picture 1"/>
            <wp:cNvGraphicFramePr>
              <a:graphicFrameLocks noChangeAspect="1"/>
            </wp:cNvGraphicFramePr>
            <a:graphic>
              <a:graphicData uri="http://schemas.openxmlformats.org/drawingml/2006/picture">
                <pic:pic>
                  <pic:nvPicPr>
                    <pic:cNvPr id="0" name="A 35555-2025 karta.png"/>
                    <pic:cNvPicPr/>
                  </pic:nvPicPr>
                  <pic:blipFill>
                    <a:blip r:embed="rId16"/>
                    <a:stretch>
                      <a:fillRect/>
                    </a:stretch>
                  </pic:blipFill>
                  <pic:spPr>
                    <a:xfrm>
                      <a:off x="0" y="0"/>
                      <a:ext cx="5486400" cy="71564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6832900, E 495808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p>
      <w:pPr>
        <w:pStyle w:val="Heading1"/>
      </w:pPr>
      <w:r>
        <w:t>Fridlysta arter</w:t>
      </w:r>
    </w:p>
    <w:p>
      <w:r>
        <w:t>Följande fridlysta arter har sina livsmiljöer och växtplatser i den avverkningsanmälda skogen: knärot (VU, §8), tjäder (§4) och trana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14 fyndplatser för knärot registrerade på Artportalen. Figur 2 visar gränserna för buffertzoner på 50 m, som behöver lämnas kring fyndplatserna för att knärotslokalerna inte ska försvinna vid en avverkning. Av det avverkningsanmälda området överlappar 4.80 ha med buffertzonerna och får av detta skäl inte avverkas.</w:t>
      </w:r>
    </w:p>
    <w:p>
      <w:pPr>
        <w:pStyle w:val="Caption"/>
      </w:pPr>
      <w:r>
        <w:drawing>
          <wp:inline xmlns:a="http://schemas.openxmlformats.org/drawingml/2006/main" xmlns:pic="http://schemas.openxmlformats.org/drawingml/2006/picture">
            <wp:extent cx="5486400" cy="9767501"/>
            <wp:docPr id="2" name="Picture 2"/>
            <wp:cNvGraphicFramePr>
              <a:graphicFrameLocks noChangeAspect="1"/>
            </wp:cNvGraphicFramePr>
            <a:graphic>
              <a:graphicData uri="http://schemas.openxmlformats.org/drawingml/2006/picture">
                <pic:pic>
                  <pic:nvPicPr>
                    <pic:cNvPr id="0" name="A 35555-2025 karta knärot.png"/>
                    <pic:cNvPicPr/>
                  </pic:nvPicPr>
                  <pic:blipFill>
                    <a:blip r:embed="rId17"/>
                    <a:stretch>
                      <a:fillRect/>
                    </a:stretch>
                  </pic:blipFill>
                  <pic:spPr>
                    <a:xfrm>
                      <a:off x="0" y="0"/>
                      <a:ext cx="5486400" cy="976750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6832900, E 495808 i SWEREF 99 TM.</w:t>
      </w:r>
    </w:p>
    <w:p>
      <w:pPr>
        <w:pStyle w:val="Caption"/>
      </w:pPr>
    </w:p>
    <w:p>
      <w:r>
        <w:rPr>
          <w:b/>
        </w:rPr>
        <w:t>Tjäder (§4)</w:t>
      </w:r>
      <w:r>
        <w:t xml:space="preserve">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Tjäder – ekologi samt krav på livsmiljön</w:t>
      </w:r>
    </w:p>
    <w:p>
      <w:r>
        <w:t>Tjäder (§4) är en utpräglad skogsfågel knuten till större sammanhängande barrskogsområden. Tupparna och hönorna utnyttjar till viss del olika miljöer, och habitatvalet varierar dessutom mellan olika delar av året. För att det ska finnas livskraftiga tjäderbestånd krävs funktionella skogslandskap med en blandning av uppvuxen, gles och luckig skog, täta sumpskogar, myrar och andra små våtmarker (Skogsstyrelsen, 2019).</w:t>
      </w:r>
    </w:p>
    <w:p>
      <w:r>
        <w:t>Arten försvinner när skogen fragmenteras och den sammanlagda arealen hyggen och andra öppna områden blir för stor. Ett småskaligt och försiktigt virkesuttag genom hyggesfria metoder kan i vissa fall vara möjligt i området inom 200 m från lekcentrum. Längre ut från lekcentrum, inom 200–500 m bör den avverkade ytan inte överskrida 1 hektar för att undvika alltför stora och snabba förändringar (Skogsstyrelsen, 2019).</w:t>
      </w:r>
    </w:p>
    <w:p>
      <w:pPr>
        <w:pStyle w:val="Heading2"/>
      </w:pPr>
      <w:r>
        <w:t>Referenser – tjäder</w:t>
      </w:r>
    </w:p>
    <w:p>
      <w:r>
        <w:t xml:space="preserve">Skogsstyrelsen, 2019. </w:t>
      </w:r>
      <w:r>
        <w:rPr>
          <w:i/>
        </w:rPr>
        <w:t xml:space="preserve">Vägledning för hänsyn till fåglar – tjäder. </w:t>
      </w:r>
      <w:r>
        <w:t>https://www.skogsstyrelsen.se/globalassets/lag-och-tillsyn/artskydd/vagledningar-for-hansyn-till-faglar/tjader-vagledning-hansyn2.pdf</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