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60541-2022 i Ljusdals kommun</w:t>
      </w:r>
    </w:p>
    <w:p>
      <w:r>
        <w:t>Detta dokument behandlar höga naturvärden i avverkningsanmälan A 60541-2022 i Ljusdals kommun. Denna avverkningsanmälan inkom 2022-12-16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orre (§4) och pärluggla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0284"/>
            <wp:docPr id="1" name="Picture 1"/>
            <wp:cNvGraphicFramePr>
              <a:graphicFrameLocks noChangeAspect="1"/>
            </wp:cNvGraphicFramePr>
            <a:graphic>
              <a:graphicData uri="http://schemas.openxmlformats.org/drawingml/2006/picture">
                <pic:pic>
                  <pic:nvPicPr>
                    <pic:cNvPr id="0" name="A 60541-2022 karta.png"/>
                    <pic:cNvPicPr/>
                  </pic:nvPicPr>
                  <pic:blipFill>
                    <a:blip r:embed="rId16"/>
                    <a:stretch>
                      <a:fillRect/>
                    </a:stretch>
                  </pic:blipFill>
                  <pic:spPr>
                    <a:xfrm>
                      <a:off x="0" y="0"/>
                      <a:ext cx="5486400" cy="4130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6892447, E 532216 i SWEREF 99 TM.</w:t>
      </w:r>
    </w:p>
    <w:p>
      <w:pPr>
        <w:pStyle w:val="Heading1"/>
      </w:pPr>
      <w:r>
        <w:t>Fridlysta arter</w:t>
      </w:r>
    </w:p>
    <w:p>
      <w:r>
        <w:t>Följande fridlysta arter har sina livsmiljöer och växtplatser i den avverkningsanmälda skogen: orre (§4) och pärluggla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Pärluggla (§4)</w:t>
      </w:r>
      <w:r>
        <w:t xml:space="preserve"> är beroende av äldre, varierad skog med goda jaktmöjligheter och god tillgång på lämpliga trädhål som boplatser. Hemområdet är i storleksordningen 200–500 hektar, men storleken varierar kraftigt beroende på hur mycket föda det finns. 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Pärlugglan är typisk art för Västlig taiga (9010) och omfattas av fågeldirektivets bilaga 1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Pärluggla – ekologi samt krav på livsmiljön</w:t>
      </w:r>
    </w:p>
    <w:p>
      <w:r>
        <w:t>Pärluggla (§4) är beroende av äldre, varierad skog med goda jaktmöjligheter och god tillgång på lämpliga trädhål som boplatser. Den förekommer med störst täthet i äldre granskog, med inslag av gamla lövträd och luckor och öppningar i form av mindre hyggen, jordbruksmark och liknande. Den häckar även frekvent i barr- och lövblandskogar av tall, björk och asp, där förutsättningarna att finna boplatser är störst. I sydligaste Sverige häckar den ofta i gamla bokbackar, men den är mycket sällsynt i ren bokskog (SLU Artdatabanken, 2024).</w:t>
      </w:r>
    </w:p>
    <w:p>
      <w:r>
        <w:t>Hemområdet är i storleksordningen 200–500 hektar, men storleken varierar kraftigt beroende på hur mycket föda det finns. Under dåliga gnagarår kan pärlugglan jaga upp till 4 km från boet medan den under bra år ofta håller sig inom 1 km. Pärluggla är typisk art för Västlig taiga och omfattas av fågeldirektivets bilaga 1 (SLU Artdatabanken, 2024).</w:t>
      </w:r>
    </w:p>
    <w:p>
      <w:r>
        <w:t>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(Skogsstyrelsen, 2016).</w:t>
      </w:r>
    </w:p>
    <w:p>
      <w:pPr>
        <w:pStyle w:val="Heading2"/>
      </w:pPr>
      <w:r>
        <w:t>Referenser – pärluggla</w:t>
      </w:r>
    </w:p>
    <w:p>
      <w:r>
        <w:t xml:space="preserve">SLU Artdatabanken, 2024. </w:t>
      </w:r>
      <w:r>
        <w:rPr>
          <w:i/>
        </w:rPr>
        <w:t xml:space="preserve">Artfaktablad. Naturvård – artfakta. </w:t>
      </w:r>
      <w:r>
        <w:t>SLU Artdatabanken, Uppsala.</w:t>
      </w:r>
    </w:p>
    <w:p>
      <w:r>
        <w:t xml:space="preserve">Skogsstyrelsen, 2016. </w:t>
      </w:r>
      <w:r>
        <w:rPr>
          <w:i/>
        </w:rPr>
        <w:t>Vägledning för hänsyn till pärluggla.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