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8590-2025 i Ljusdals kommun</w:t>
      </w:r>
    </w:p>
    <w:p>
      <w:r>
        <w:t>Detta dokument behandlar höga naturvärden i avverkningsanmälan A 8590-2025 i Ljusdals kommun. Denna avverkningsanmälan inkom 2025-02-21 00:00:00 och omfattar 64,1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och rödlistade arter.</w:t>
      </w:r>
    </w:p>
    <w:p>
      <w:pPr>
        <w:pStyle w:val="Heading1"/>
      </w:pPr>
      <w:r>
        <w:t>Naturvårdsarter</w:t>
      </w:r>
    </w:p>
    <w:p>
      <w:r>
        <w:t>I avverkningsanmälan har följande 19 naturvårdsarter hittats: knärot (VU, §8), garnlav (NT), kolflarnlav (NT), lunglav (NT), mörk kolflarnlav (NT), skrovellav (NT), tallticka (NT), talltita (NT, §4), tretåig hackspett (NT, §4), ullticka (NT), vedskivlav (NT), dropptaggsvamp (S), luddlav (S), mindre märgborre (S), spindelblomster (S, §8), stuplav (S), vedticka (S), kungsfågel (§4) och tjäder (§4).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448056"/>
            <wp:docPr id="1" name="Picture 1"/>
            <wp:cNvGraphicFramePr>
              <a:graphicFrameLocks noChangeAspect="1"/>
            </wp:cNvGraphicFramePr>
            <a:graphic>
              <a:graphicData uri="http://schemas.openxmlformats.org/drawingml/2006/picture">
                <pic:pic>
                  <pic:nvPicPr>
                    <pic:cNvPr id="0" name="A 8590-2025 karta.png"/>
                    <pic:cNvPicPr/>
                  </pic:nvPicPr>
                  <pic:blipFill>
                    <a:blip r:embed="rId16"/>
                    <a:stretch>
                      <a:fillRect/>
                    </a:stretch>
                  </pic:blipFill>
                  <pic:spPr>
                    <a:xfrm>
                      <a:off x="0" y="0"/>
                      <a:ext cx="5486400" cy="2448056"/>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6845216, E 524805 i SWEREF 99 TM.</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talltita (NT, §4), tretåig hackspett (NT, §4), spindelblomster (S,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44 fyndplatser för knärot registrerade på Artportalen. Figur 2 visar gränserna för buffertzoner på 50 m, som behöver lämnas kring fyndplatserna för att knärotslokalerna inte ska försvinna vid en avverkning. Av det avverkningsanmälda området överlappar 11.77 ha med buffertzonerna och får av detta skäl inte avverkas.</w:t>
      </w:r>
    </w:p>
    <w:p>
      <w:pPr>
        <w:pStyle w:val="Caption"/>
      </w:pPr>
      <w:r>
        <w:drawing>
          <wp:inline xmlns:a="http://schemas.openxmlformats.org/drawingml/2006/main" xmlns:pic="http://schemas.openxmlformats.org/drawingml/2006/picture">
            <wp:extent cx="5486400" cy="2752876"/>
            <wp:docPr id="2" name="Picture 2"/>
            <wp:cNvGraphicFramePr>
              <a:graphicFrameLocks noChangeAspect="1"/>
            </wp:cNvGraphicFramePr>
            <a:graphic>
              <a:graphicData uri="http://schemas.openxmlformats.org/drawingml/2006/picture">
                <pic:pic>
                  <pic:nvPicPr>
                    <pic:cNvPr id="0" name="A 8590-2025 karta knärot.png"/>
                    <pic:cNvPicPr/>
                  </pic:nvPicPr>
                  <pic:blipFill>
                    <a:blip r:embed="rId17"/>
                    <a:stretch>
                      <a:fillRect/>
                    </a:stretch>
                  </pic:blipFill>
                  <pic:spPr>
                    <a:xfrm>
                      <a:off x="0" y="0"/>
                      <a:ext cx="5486400" cy="275287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6845216, E 524805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