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52437-2025 i Ljusdals kommun</w:t>
      </w:r>
    </w:p>
    <w:p>
      <w:r>
        <w:t>Detta klagomål behandlar höga naturvärden i avverkningsanmälan A 52437-2025 i Ljusdals kommun som inkom 2025-10-24 och omfattar 15,9 ha.</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52437-2025 karta.png"/>
                    <pic:cNvPicPr/>
                  </pic:nvPicPr>
                  <pic:blipFill>
                    <a:blip r:embed="rId16"/>
                    <a:stretch>
                      <a:fillRect/>
                    </a:stretch>
                  </pic:blipFill>
                  <pic:spPr>
                    <a:xfrm>
                      <a:off x="0" y="0"/>
                      <a:ext cx="5486400" cy="458776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6834733, E 493769 i SWEREF 99 TM.</w:t>
      </w:r>
    </w:p>
    <w:p>
      <w:r>
        <w:t>I och inom 9 meter från avverkningsanmälan finns fynd av 23 naturvårdsarter, varav 18 är rödlistade, 4 är fridlysta, 16 är typiska (T) och 4 är signalarter (S): garnlav (VU, T), knärot (VU, T, §8), dropptaggsvamp (NT, T), dvärgbägarlav (NT, T), kolflarnlav (NT, T), lunglav (NT, T), mörk kolflarnlav (NT), nordtagging (NT), rosenticka (NT, T), talltagel (NT, T), talltita (NT, §4), tretåig hackspett (NT, T, §4), ullticka (NT, T), vaddporing (NT), vedflamlav (NT), vedskivlav (NT, T), violettgrå tagellav (NT, T), vitgrynig nållav (NT), luddlav (S, T), mindre märgborre (S, T), nästlav (S, T),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111 fyndplatser för knärot registrerade på Artportalen. Figur 2 visar gränserna för buffertzoner på 50 m, som behöver lämnas kring fyndplatserna för att knärotslokalerna inte ska försvinna vid en avverkning. Av det avverkningsanmälda området överlappar 10.86 ha med buffertzonerna och får av detta skäl inte avverkas.</w:t>
      </w:r>
    </w:p>
    <w:p>
      <w:pPr>
        <w:pStyle w:val="Caption"/>
      </w:pPr>
      <w:r>
        <w:drawing>
          <wp:inline xmlns:a="http://schemas.openxmlformats.org/drawingml/2006/main" xmlns:pic="http://schemas.openxmlformats.org/drawingml/2006/picture">
            <wp:extent cx="5486400" cy="5865328"/>
            <wp:docPr id="2" name="Picture 2"/>
            <wp:cNvGraphicFramePr>
              <a:graphicFrameLocks noChangeAspect="1"/>
            </wp:cNvGraphicFramePr>
            <a:graphic>
              <a:graphicData uri="http://schemas.openxmlformats.org/drawingml/2006/picture">
                <pic:pic>
                  <pic:nvPicPr>
                    <pic:cNvPr id="0" name="A 52437-2025 karta knärot.png"/>
                    <pic:cNvPicPr/>
                  </pic:nvPicPr>
                  <pic:blipFill>
                    <a:blip r:embed="rId17"/>
                    <a:stretch>
                      <a:fillRect/>
                    </a:stretch>
                  </pic:blipFill>
                  <pic:spPr>
                    <a:xfrm>
                      <a:off x="0" y="0"/>
                      <a:ext cx="5486400" cy="5865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6834733, E 493769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