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37449-2025 i Ljusdals kommun</w:t>
      </w:r>
    </w:p>
    <w:p>
      <w:r>
        <w:t>Detta dokument behandlar höga naturvärden i avverkningsanmälan A 37449-2025 i Ljusdals kommun. Denna avverkningsanmälan inkom 2025-08-08 13:15:33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10 naturvårdsarter hittats: timmerskapania (EN), liten hornflikmossa (VU), skuggviol (NT), vedflikmossa (NT), vedtrappmossa (NT), fjällig taggsvamp s.str. (S), kransrams (S), svart trolldruva (S), underviol (S) och blåsippa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40814"/>
            <wp:docPr id="1" name="Picture 1"/>
            <wp:cNvGraphicFramePr>
              <a:graphicFrameLocks noChangeAspect="1"/>
            </wp:cNvGraphicFramePr>
            <a:graphic>
              <a:graphicData uri="http://schemas.openxmlformats.org/drawingml/2006/picture">
                <pic:pic>
                  <pic:nvPicPr>
                    <pic:cNvPr id="0" name="A 37449-2025 karta.png"/>
                    <pic:cNvPicPr/>
                  </pic:nvPicPr>
                  <pic:blipFill>
                    <a:blip r:embed="rId16"/>
                    <a:stretch>
                      <a:fillRect/>
                    </a:stretch>
                  </pic:blipFill>
                  <pic:spPr>
                    <a:xfrm>
                      <a:off x="0" y="0"/>
                      <a:ext cx="5486400" cy="52408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6909629, E 536224 i SWEREF 99 TM.</w:t>
      </w:r>
    </w:p>
    <w:p>
      <w:r>
        <w:rPr>
          <w:b/>
        </w:rPr>
        <w:t>Kransrams</w:t>
      </w:r>
      <w:r>
        <w:t xml:space="preserve"> är typisk art för </w:t>
      </w:r>
      <w:r>
        <w:rPr>
          <w:i/>
        </w:rPr>
        <w:t xml:space="preserve">9020 Nordlig ädellövskog </w:t>
      </w:r>
      <w:r>
        <w:t>(SLU Artdatabanken, 2025).</w:t>
      </w:r>
    </w:p>
    <w:p>
      <w:r>
        <w:rPr>
          <w:b/>
        </w:rPr>
        <w:t>Liten hornflikmossa (VU)</w:t>
      </w:r>
      <w:r>
        <w:t xml:space="preserve"> växer på grova murkna lågor i sluten och urskogsartad granskog med hög och jämn luftfuktighet. Arten är placerad högst upp i Skogsstyrelsens värdepyramid för bedömning av skog med höga naturvärden och samtliga kända lokaler med liten hornflikmossa bör ges ett ändamålsenligt skydd (SLU Artdatabanken, 2024; Nitare &amp; Skogsstyrelsen, 2019).</w:t>
      </w:r>
    </w:p>
    <w:p>
      <w:r>
        <w:rPr>
          <w:b/>
        </w:rPr>
        <w:t>Skuggviol (NT)</w:t>
      </w:r>
      <w:r>
        <w:t xml:space="preserve"> förekommer från Värmland upp till Norrbotten och Torne lappmark. Den växer i örtrika hägg- eller gråalsdominerade lövlundar i fuktstråk nedanför sydbergsbranter, i raviner eller vid rikare partier längs åar och bäckar. Lokaler för skuggviol bör undantas från skogsbruk och vid avverkningar i närheten av skuggviolens biotoper är det viktigt att lämna stormfasta kantzoner. Dikningar som direkt eller indirekt påverkar dessa miljöer bör inte heller utföras. Skuggviol är typisk art för </w:t>
      </w:r>
      <w:r>
        <w:rPr>
          <w:i/>
        </w:rPr>
        <w:t>9750 Svämlövskog</w:t>
      </w:r>
      <w:r>
        <w:t xml:space="preserve"> (SLU Artdatabanken, 2024).</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Timmerskapania (EN)</w:t>
      </w:r>
      <w:r>
        <w:t xml:space="preserve"> växer på hård ved som tidvis blöts ned och hittas ofta på omkullfallna trädstammar intill vattendrag och skogstjärnar, i skuggigt läge. Arten är rödlistad som nära hotad (NT) i den europeiska rödlistan och omfattas av ett åtgärdsprogram för hotade arter (ÅGP). Alla skogsskötselåtgärder på eller i närheten av lokalerna utgör ett hot och samtliga aktuella fyndlokaler måste ges ett ändamålsenligt skydd vilket måste inkludera en god tillgång på död ved liksom expositionsskydd samt att livsmiljöerna inte tillåts torka upp under någon längre period. (IUCN, 2024; SLU Artdatabanken, 2024; Naturvårdsverket 2015).</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r>
        <w:rPr>
          <w:b/>
        </w:rPr>
        <w:t xml:space="preserve">Vedflikmossa (NT) </w:t>
      </w:r>
      <w:r>
        <w:t>är strikt knuten till död ved i främst Norrlands barrskogar. Fanns tidigare även i södra Sveriges skogar men är borta där. Eftersom arten huvudsakligen är hänvisad till skog där träd fått växa kontinuerligt under flera hundra år (kontinuitetsskog), inte klarar av en kalhyggesfas och har svårt att sprida sig över stora avstånd, bedöms populationen fortsätta att minska på grund av dagens avverkningstakt av kontinuitetsskog. För att hejda populationsminskningen av denna art måste kalavverkning i de barrskogar som tidigare aldrig kalhuggits (kontinuitetsskog) upphöra eller begränsas kraftigt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