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55322-2021 i Ljusdals kommun</w:t>
      </w:r>
    </w:p>
    <w:p>
      <w:r>
        <w:t>Denna tillsynsbegäran behandlar höga naturvärden i avverkningsanmälan A 55322-2021 i Ljusdals kommun som inkom 2021-10-06 och omfattar 4,1 ha.</w:t>
      </w:r>
    </w:p>
    <w:p>
      <w:pPr>
        <w:pStyle w:val="Caption"/>
      </w:pPr>
      <w:r>
        <w:drawing>
          <wp:inline xmlns:a="http://schemas.openxmlformats.org/drawingml/2006/main" xmlns:pic="http://schemas.openxmlformats.org/drawingml/2006/picture">
            <wp:extent cx="5313187" cy="5724000"/>
            <wp:docPr id="1" name="Picture 1"/>
            <wp:cNvGraphicFramePr>
              <a:graphicFrameLocks noChangeAspect="1"/>
            </wp:cNvGraphicFramePr>
            <a:graphic>
              <a:graphicData uri="http://schemas.openxmlformats.org/drawingml/2006/picture">
                <pic:pic>
                  <pic:nvPicPr>
                    <pic:cNvPr id="0" name="A 55322-2021 karta.png"/>
                    <pic:cNvPicPr/>
                  </pic:nvPicPr>
                  <pic:blipFill>
                    <a:blip r:embed="rId16"/>
                    <a:stretch>
                      <a:fillRect/>
                    </a:stretch>
                  </pic:blipFill>
                  <pic:spPr>
                    <a:xfrm>
                      <a:off x="0" y="0"/>
                      <a:ext cx="5313187"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6842363, E 575091 i SWEREF 99 TM.</w:t>
      </w:r>
    </w:p>
    <w:p>
      <w:r>
        <w:t>I avverkningsanmälan finns fynd av 16 naturvårdsarter, varav 7 är rödlistade, 1 är fridlyst, 13 är typiska (T) och 9 är signalarter (S): garnlav (VU, T), knärot (VU, T, §8), gammelgransskål (NT, T), gullpudra (NT, T), kattfotslav (NT, T), ullticka (NT, T), vitgrynig nållav (NT), bronshjon (S, T), grönpyrola (S, T), gulnål (S, T), korallblylav (S, T), källpraktmossa (S, T), mörk husmossa (S, T), rödgul trumpetsvamp (S), skogsbräsma (S) och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9 fyndplatser för knärot registrerade på Artportalen. Figur 2 visar gränserna för buffertzoner på 50 m, som behöver lämnas kring fyndplatserna för att knärotslokalerna inte ska försvinna vid en avverkning. Av det avverkningsanmälda området överlappar 2.36 ha med buffertzonerna och får av detta skäl inte avverkas.</w:t>
      </w:r>
    </w:p>
    <w:p>
      <w:pPr>
        <w:pStyle w:val="Caption"/>
      </w:pPr>
      <w:r>
        <w:drawing>
          <wp:inline xmlns:a="http://schemas.openxmlformats.org/drawingml/2006/main" xmlns:pic="http://schemas.openxmlformats.org/drawingml/2006/picture">
            <wp:extent cx="5486400" cy="5665509"/>
            <wp:docPr id="2" name="Picture 2"/>
            <wp:cNvGraphicFramePr>
              <a:graphicFrameLocks noChangeAspect="1"/>
            </wp:cNvGraphicFramePr>
            <a:graphic>
              <a:graphicData uri="http://schemas.openxmlformats.org/drawingml/2006/picture">
                <pic:pic>
                  <pic:nvPicPr>
                    <pic:cNvPr id="0" name="A 55322-2021 karta knärot.png"/>
                    <pic:cNvPicPr/>
                  </pic:nvPicPr>
                  <pic:blipFill>
                    <a:blip r:embed="rId17"/>
                    <a:stretch>
                      <a:fillRect/>
                    </a:stretch>
                  </pic:blipFill>
                  <pic:spPr>
                    <a:xfrm>
                      <a:off x="0" y="0"/>
                      <a:ext cx="5486400" cy="566550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6842363, E 575091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 xml:space="preserve">Källpraktmossa </w:t>
      </w:r>
      <w:r>
        <w:t xml:space="preserve">växer på fuktig eller blöt, näringsrik och ofta mineralrik mark, t.ex. i sumpskogar. Den är en god signalart i södra och mellersta Sverige och förekommer ofta i artrika miljöer med t.ex. kärrkammossa, bågpraktmossa, filtrundmossa och skogshakmossa. Eftersom mängden våtmarker har reducerats kraftigt i södra Sverige under det senaste seklet har förekomsten av källpraktmossa troligen minskat i söder. Källpraktmossa är typisk art för </w:t>
      </w:r>
      <w:r>
        <w:rPr>
          <w:i/>
        </w:rPr>
        <w:t xml:space="preserve">7160 Källor och källkärr, 9750 Svämlövskog </w:t>
      </w:r>
      <w:r>
        <w:t>och</w:t>
      </w:r>
      <w:r>
        <w:rPr>
          <w:i/>
        </w:rPr>
        <w:t xml:space="preserve"> 9080 Lövsumpskog </w:t>
      </w:r>
      <w:r>
        <w:t>(Nitare &amp; Skogsstyrelsen, 2019; SLU Artdatabanken, 2025).</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gammelgransskål (NT, T), gullpudra (NT, T), kattfotslav (NT, T), ullticka (NT, T), bronshjon (S, T), grönpyrola (S, T), gulnål (S, T), korallblylav (S, T), källpraktmossa (S, T), mörk husmossa (S, T) och vedticka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