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37449-2025 i Ljusdals kommun</w:t>
      </w:r>
    </w:p>
    <w:p>
      <w:r>
        <w:t>Detta dokument behandlar höga naturvärden i avverkningsanmälan A 37449-2025 i Ljusdals kommun. Denna avverkningsanmälan inkom 2025-08-08 13:15:33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timmerskapania (EN), liten hornflikmossa (VU), skuggviol (NT), vedflikmossa (NT), vedtrappmossa (NT), fjällig taggsvamp s.str. (S), kransrams (S), svart trolldruva (S), underviol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0814"/>
            <wp:docPr id="1" name="Picture 1"/>
            <wp:cNvGraphicFramePr>
              <a:graphicFrameLocks noChangeAspect="1"/>
            </wp:cNvGraphicFramePr>
            <a:graphic>
              <a:graphicData uri="http://schemas.openxmlformats.org/drawingml/2006/picture">
                <pic:pic>
                  <pic:nvPicPr>
                    <pic:cNvPr id="0" name="A 37449-2025 karta.png"/>
                    <pic:cNvPicPr/>
                  </pic:nvPicPr>
                  <pic:blipFill>
                    <a:blip r:embed="rId16"/>
                    <a:stretch>
                      <a:fillRect/>
                    </a:stretch>
                  </pic:blipFill>
                  <pic:spPr>
                    <a:xfrm>
                      <a:off x="0" y="0"/>
                      <a:ext cx="5486400" cy="5240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6909629, E 536224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Skuggviol (NT)</w:t>
      </w:r>
      <w:r>
        <w:t xml:space="preserve"> förekommer från Värmland upp till Norrbotten och Torne lappmark. Den växer i örtrika hägg- eller gråalsdominerade lövlundar i fuktstråk nedanför sydbergsbranter, i raviner eller vid rikare partier längs åar och bäckar. Lokaler för skuggviol bör undantas från skogsbruk och vid avverkningar i närheten av skuggviolens biotoper är det viktigt att lämna stormfasta kantzoner. Dikningar som direkt eller indirekt påverkar dessa miljöer bör inte heller utföras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Timmerskapania (EN)</w:t>
      </w:r>
      <w:r>
        <w:t xml:space="preserve"> växer på hård ved som tidvis blöts ned och hittas ofta på omkullfallna trädstammar intill vattendrag och skogstjärnar, i skuggigt läge. Arten är rödlistad som nära hotad (NT) i den europeiska rödlistan och omfattas av ett åtgärdsprogram för hotade arter (ÅGP).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(IUCN, 2024; SLU Artdatabanken, 2024; Naturvårdsverket 2015).</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