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2601-2025 i Ljusdals kommun</w:t>
      </w:r>
    </w:p>
    <w:p>
      <w:r>
        <w:t>Detta klagomål behandlar höga naturvärden i samrådsanmälan S 2601-2025 i Ljusdals kommun som inkom 2025-09-16 och omfattar 18,0 ha.</w:t>
      </w:r>
    </w:p>
    <w:p>
      <w:pPr>
        <w:pStyle w:val="Caption"/>
      </w:pPr>
      <w:r>
        <w:drawing>
          <wp:inline xmlns:a="http://schemas.openxmlformats.org/drawingml/2006/main" xmlns:pic="http://schemas.openxmlformats.org/drawingml/2006/picture">
            <wp:extent cx="5486400" cy="4971696"/>
            <wp:docPr id="1" name="Picture 1"/>
            <wp:cNvGraphicFramePr>
              <a:graphicFrameLocks noChangeAspect="1"/>
            </wp:cNvGraphicFramePr>
            <a:graphic>
              <a:graphicData uri="http://schemas.openxmlformats.org/drawingml/2006/picture">
                <pic:pic>
                  <pic:nvPicPr>
                    <pic:cNvPr id="0" name="S 2601-2025 karta.png"/>
                    <pic:cNvPicPr/>
                  </pic:nvPicPr>
                  <pic:blipFill>
                    <a:blip r:embed="rId16"/>
                    <a:stretch>
                      <a:fillRect/>
                    </a:stretch>
                  </pic:blipFill>
                  <pic:spPr>
                    <a:xfrm>
                      <a:off x="0" y="0"/>
                      <a:ext cx="5486400" cy="4971696"/>
                    </a:xfrm>
                    <a:prstGeom prst="rect"/>
                  </pic:spPr>
                </pic:pic>
              </a:graphicData>
            </a:graphic>
          </wp:inline>
        </w:drawing>
      </w:r>
    </w:p>
    <w:p>
      <w:pPr>
        <w:pStyle w:val="Caption"/>
        <w:spacing w:after="240"/>
      </w:pPr>
      <w:r>
        <w:t>Figur 1. Fyndplatser för naturvårdsarter i och inom 22 meter från samrådsanmälan. Markörer utan svart kant är placerade på fyndplatsen. Markörer med svart kant är placerade vid sidan av fyndplatsen och har ett svart streck som visar fyndplatsens exakta position. Kartans mittpunktskoordinat är N 6909340, E 526696 i SWEREF 99 TM.</w:t>
      </w:r>
    </w:p>
    <w:p>
      <w:r>
        <w:t>I och inom 22 meter från samrådsanmälan finns fynd av 13 naturvårdsarter, varav 4 är rödlistade, 7 är fridlysta, 8 är typiska (T) och 4 är signalarter (S): garnlav (VU, T), knärot (VU, T, §8), kolflarnlav (NT, T), skrovellav (NT, T), källpraktmossa (S, T), spindelblomster (S, T, §8), stuplav (S, T), vågbandad barkbock (S), spillkråka (T, §4), orre (§4), fläcknycklar (§8), nattviol (§8)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samrådsanmälda området finns 1 fyndplatser för knärot registrerade på Artportalen. Figur 2 visar gränserna för buffertzoner på 50 m, som behöver lämnas kring fyndplatserna för att knärotslokalerna inte ska försvinna vid en avverkning. Av det samrådsanmälda området överlappar 0.15 ha med buffertzonerna och får av detta skäl inte avverkas.</w:t>
      </w:r>
    </w:p>
    <w:p>
      <w:pPr>
        <w:pStyle w:val="Caption"/>
      </w:pPr>
      <w:r>
        <w:drawing>
          <wp:inline xmlns:a="http://schemas.openxmlformats.org/drawingml/2006/main" xmlns:pic="http://schemas.openxmlformats.org/drawingml/2006/picture">
            <wp:extent cx="5486400" cy="4717173"/>
            <wp:docPr id="2" name="Picture 2"/>
            <wp:cNvGraphicFramePr>
              <a:graphicFrameLocks noChangeAspect="1"/>
            </wp:cNvGraphicFramePr>
            <a:graphic>
              <a:graphicData uri="http://schemas.openxmlformats.org/drawingml/2006/picture">
                <pic:pic>
                  <pic:nvPicPr>
                    <pic:cNvPr id="0" name="S 2601-2025 karta knärot.png"/>
                    <pic:cNvPicPr/>
                  </pic:nvPicPr>
                  <pic:blipFill>
                    <a:blip r:embed="rId17"/>
                    <a:stretch>
                      <a:fillRect/>
                    </a:stretch>
                  </pic:blipFill>
                  <pic:spPr>
                    <a:xfrm>
                      <a:off x="0" y="0"/>
                      <a:ext cx="5486400" cy="4717173"/>
                    </a:xfrm>
                    <a:prstGeom prst="rect"/>
                  </pic:spPr>
                </pic:pic>
              </a:graphicData>
            </a:graphic>
          </wp:inline>
        </w:drawing>
      </w:r>
    </w:p>
    <w:p>
      <w:pPr>
        <w:pStyle w:val="Caption"/>
        <w:spacing w:after="240"/>
      </w:pPr>
      <w:r>
        <w:t>Figur 2. Fyndplatser och buffertzoner för knärot i det samrådsanmälda området. Endast fyndplatser vars buffertzoner överlappar med det samrådsanmälda området har tagits med i visualiseringen. Kartans mittpunktskoordinat är N 6909340, E 526696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 xml:space="preserve">Källpraktmossa </w:t>
      </w:r>
      <w:r>
        <w:t xml:space="preserve">växer på fuktig eller blöt, näringsrik och ofta mineralrik mark, t.ex. i sumpskogar. Den är en god signalart i södra och mellersta Sverige och förekommer ofta i artrika miljöer med t.ex. kärrkammossa, bågpraktmossa, filtrundmossa och skogshakmossa. Eftersom mängden våtmarker har reducerats kraftigt i södra Sverige under det senaste seklet har förekomsten av källpraktmossa troligen minskat i söder. Källpraktmossa är typisk art för </w:t>
      </w:r>
      <w:r>
        <w:rPr>
          <w:i/>
        </w:rPr>
        <w:t xml:space="preserve">7160 Källor och källkärr, 9750 Svämlövskog </w:t>
      </w:r>
      <w:r>
        <w:t>och</w:t>
      </w:r>
      <w:r>
        <w:rPr>
          <w:i/>
        </w:rPr>
        <w:t xml:space="preserve"> 9080 Lövsumpskog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13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