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211173"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211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30 naturvårdsarter, varav 24 är rödlistade, 5 är fridlysta, 18 är typiska (T) och 4 är signalarter (S): garnlav (VU, T), knärot (VU, T, §8), skrovlig taggsvamp (VU), spadskinn (VU), tallmusseron (VU), blå taggsvamp (NT, T), blågrå svartspik (NT), dropptaggsvamp (NT, T), dvärgbägarlav (NT, T), kolflarnlav (NT, T), lunglav (NT, T), mjölsvärting (NT), mörk kolflarnlav (NT), skrovellav (NT, T), svart taggsvamp (NT), tallticka (NT, T), talltita (NT, §4), tretåig hackspett (NT, T, §4), ullticka (NT, T), vaddporing (NT), vedflamlav (NT), vedskivlav (NT, T), violettgrå tagellav (NT, T), vitgrynig nållav (NT), luddlav (S, T), nästlav (S, T), stuplav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kolflarnlav (NT, T), lunglav (NT, T), skrovellav (NT, T), tallticka (NT, T), tretåig hackspett (NT, T, §4), ullticka (NT, T), vedskivlav (NT, T), violettgrå tagellav (NT, T), luddlav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