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52212-2025 i Ljusdals kommun</w:t>
      </w:r>
    </w:p>
    <w:p>
      <w:r>
        <w:t>Detta klagomål behandlar höga naturvärden i avverkningsanmälan A 52212-2025 i Ljusdals kommun som inkom 2025-10-23 och omfattar 55,3 ha.</w:t>
      </w:r>
    </w:p>
    <w:p>
      <w:pPr>
        <w:pStyle w:val="Caption"/>
      </w:pPr>
      <w:r>
        <w:drawing>
          <wp:inline xmlns:a="http://schemas.openxmlformats.org/drawingml/2006/main" xmlns:pic="http://schemas.openxmlformats.org/drawingml/2006/picture">
            <wp:extent cx="5486400" cy="4732256"/>
            <wp:docPr id="1" name="Picture 1"/>
            <wp:cNvGraphicFramePr>
              <a:graphicFrameLocks noChangeAspect="1"/>
            </wp:cNvGraphicFramePr>
            <a:graphic>
              <a:graphicData uri="http://schemas.openxmlformats.org/drawingml/2006/picture">
                <pic:pic>
                  <pic:nvPicPr>
                    <pic:cNvPr id="0" name="A 52212-2025 karta.png"/>
                    <pic:cNvPicPr/>
                  </pic:nvPicPr>
                  <pic:blipFill>
                    <a:blip r:embed="rId16"/>
                    <a:stretch>
                      <a:fillRect/>
                    </a:stretch>
                  </pic:blipFill>
                  <pic:spPr>
                    <a:xfrm>
                      <a:off x="0" y="0"/>
                      <a:ext cx="5486400" cy="47322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6818968, E 488474 i SWEREF 99 TM.</w:t>
      </w:r>
    </w:p>
    <w:p>
      <w:r>
        <w:t>I avverkningsanmälan finns fynd av 17 naturvårdsarter, varav 14 är rödlistade, 5 är fridlysta, 11 är typiska (T) och 1 är signalart (S): garnlav (VU, T), knärot (VU, T, §8), blanksvart spiklav (NT), dropptaggsvamp (NT, T), dvärgbägarlav (NT, T), kolflarnlav (NT, T), lunglav (NT, T), mörk kolflarnlav (NT), skrovellav (NT, T), tallticka (NT, T), talltita (NT, §4), tretåig hackspett (NT, T, §4), vedflamlav (NT), vedskivlav (NT, T), vedticka (S, T), grönsiska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4.00 ha med buffertzonerna och får av detta skäl inte avverkas.</w:t>
      </w:r>
    </w:p>
    <w:p>
      <w:pPr>
        <w:pStyle w:val="Caption"/>
      </w:pPr>
      <w:r>
        <w:drawing>
          <wp:inline xmlns:a="http://schemas.openxmlformats.org/drawingml/2006/main" xmlns:pic="http://schemas.openxmlformats.org/drawingml/2006/picture">
            <wp:extent cx="5486400" cy="4496586"/>
            <wp:docPr id="2" name="Picture 2"/>
            <wp:cNvGraphicFramePr>
              <a:graphicFrameLocks noChangeAspect="1"/>
            </wp:cNvGraphicFramePr>
            <a:graphic>
              <a:graphicData uri="http://schemas.openxmlformats.org/drawingml/2006/picture">
                <pic:pic>
                  <pic:nvPicPr>
                    <pic:cNvPr id="0" name="A 52212-2025 karta knärot.png"/>
                    <pic:cNvPicPr/>
                  </pic:nvPicPr>
                  <pic:blipFill>
                    <a:blip r:embed="rId17"/>
                    <a:stretch>
                      <a:fillRect/>
                    </a:stretch>
                  </pic:blipFill>
                  <pic:spPr>
                    <a:xfrm>
                      <a:off x="0" y="0"/>
                      <a:ext cx="5486400" cy="449658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6818968, E 488474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