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54276-2023 i Ljusdals kommun</w:t>
      </w:r>
    </w:p>
    <w:p>
      <w:r>
        <w:t>Detta dokument behandlar höga naturvärden i avverkningsanmälan A 54276-2023 i Ljusdals kommun. Denna avverkningsanmälan inkom 2023-11-02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knärot (VU, §8), alflugsvamp (NT), garnlav (NT), kolflarnlav (NT), lunglav (NT), skrovellav (NT) och vedflamlav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95788"/>
            <wp:docPr id="1" name="Picture 1"/>
            <wp:cNvGraphicFramePr>
              <a:graphicFrameLocks noChangeAspect="1"/>
            </wp:cNvGraphicFramePr>
            <a:graphic>
              <a:graphicData uri="http://schemas.openxmlformats.org/drawingml/2006/picture">
                <pic:pic>
                  <pic:nvPicPr>
                    <pic:cNvPr id="0" name="A 54276-2023 karta.png"/>
                    <pic:cNvPicPr/>
                  </pic:nvPicPr>
                  <pic:blipFill>
                    <a:blip r:embed="rId16"/>
                    <a:stretch>
                      <a:fillRect/>
                    </a:stretch>
                  </pic:blipFill>
                  <pic:spPr>
                    <a:xfrm>
                      <a:off x="0" y="0"/>
                      <a:ext cx="5486400" cy="60957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6852137, E 477576 i SWEREF 99 TM.</w:t>
      </w:r>
    </w:p>
    <w:p>
      <w:r>
        <w:rPr>
          <w:b/>
        </w:rPr>
        <w:t>Alflugsvamp (NT)</w:t>
      </w:r>
      <w:r>
        <w:t xml:space="preserve"> bildar mykorrhiza med främst gråal, mer sällan klibbal och lever i mullrik och vanligen kalkrik, översilad mark i örtrik gråalskog, alravin och klibbalstrandskog. Den är placerad högst upp i Skogsstyrelsens värdepyramid för bedömning av skog med höga naturvärden och signalerar alltid sällsynta albiotoper med höga naturvärden. Alflugsvamp är globalt rödlistad som nära hotad (NT) vilket innebär att Sverige har ett internationellt ansvar för arten (SLU Artdatabanken, 2024; IUCN, 2023;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1.44 ha med buffertzonerna och får av detta skäl inte avverkas.</w:t>
      </w:r>
    </w:p>
    <w:p>
      <w:pPr>
        <w:pStyle w:val="Caption"/>
      </w:pPr>
      <w:r>
        <w:drawing>
          <wp:inline xmlns:a="http://schemas.openxmlformats.org/drawingml/2006/main" xmlns:pic="http://schemas.openxmlformats.org/drawingml/2006/picture">
            <wp:extent cx="5486400" cy="7722940"/>
            <wp:docPr id="2" name="Picture 2"/>
            <wp:cNvGraphicFramePr>
              <a:graphicFrameLocks noChangeAspect="1"/>
            </wp:cNvGraphicFramePr>
            <a:graphic>
              <a:graphicData uri="http://schemas.openxmlformats.org/drawingml/2006/picture">
                <pic:pic>
                  <pic:nvPicPr>
                    <pic:cNvPr id="0" name="A 54276-2023 karta knärot.png"/>
                    <pic:cNvPicPr/>
                  </pic:nvPicPr>
                  <pic:blipFill>
                    <a:blip r:embed="rId17"/>
                    <a:stretch>
                      <a:fillRect/>
                    </a:stretch>
                  </pic:blipFill>
                  <pic:spPr>
                    <a:xfrm>
                      <a:off x="0" y="0"/>
                      <a:ext cx="5486400" cy="77229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6852137, E 477576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