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24150-2026 i Ljusdals kommun</w:t>
      </w:r>
    </w:p>
    <w:p>
      <w:r>
        <w:t>Detta dokument behandlar höga naturvärden i avverkningsanmälan A 24150-2026 i Ljusdals kommun som inkom 2026-05-26 och omfattar 18,0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9200" cy="5688000"/>
            <wp:docPr id="1" name="Picture 1"/>
            <wp:cNvGraphicFramePr>
              <a:graphicFrameLocks noChangeAspect="1"/>
            </wp:cNvGraphicFramePr>
            <a:graphic>
              <a:graphicData uri="http://schemas.openxmlformats.org/drawingml/2006/picture">
                <pic:pic>
                  <pic:nvPicPr>
                    <pic:cNvPr id="0" name="A 24150-2026 karta.png"/>
                    <pic:cNvPicPr/>
                  </pic:nvPicPr>
                  <pic:blipFill>
                    <a:blip r:embed="rId16"/>
                    <a:stretch>
                      <a:fillRect/>
                    </a:stretch>
                  </pic:blipFill>
                  <pic:spPr>
                    <a:xfrm>
                      <a:off x="0" y="0"/>
                      <a:ext cx="511920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6871566, E 526359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plattlummer (S,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plattlummer (S, 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24150-2026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6871566, E 526359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