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16924-2026 i Ljusdals kommun</w:t>
      </w:r>
    </w:p>
    <w:p>
      <w:r>
        <w:t>Detta klagomål behandlar höga naturvärden i avverkningsanmälan A 16924-2026 i Ljusdals kommun som inkom 2026-04-01 och omfattar 2,4 ha.</w:t>
      </w:r>
    </w:p>
    <w:p>
      <w:pPr>
        <w:pStyle w:val="Caption"/>
      </w:pPr>
      <w:r>
        <w:drawing>
          <wp:inline xmlns:a="http://schemas.openxmlformats.org/drawingml/2006/main" xmlns:pic="http://schemas.openxmlformats.org/drawingml/2006/picture">
            <wp:extent cx="5486400" cy="4416438"/>
            <wp:docPr id="1" name="Picture 1"/>
            <wp:cNvGraphicFramePr>
              <a:graphicFrameLocks noChangeAspect="1"/>
            </wp:cNvGraphicFramePr>
            <a:graphic>
              <a:graphicData uri="http://schemas.openxmlformats.org/drawingml/2006/picture">
                <pic:pic>
                  <pic:nvPicPr>
                    <pic:cNvPr id="0" name="A 16924-2026 karta.png"/>
                    <pic:cNvPicPr/>
                  </pic:nvPicPr>
                  <pic:blipFill>
                    <a:blip r:embed="rId16"/>
                    <a:stretch>
                      <a:fillRect/>
                    </a:stretch>
                  </pic:blipFill>
                  <pic:spPr>
                    <a:xfrm>
                      <a:off x="0" y="0"/>
                      <a:ext cx="5486400" cy="441643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6904537, E 534648 i SWEREF 99 TM.</w:t>
      </w:r>
    </w:p>
    <w:p>
      <w:r>
        <w:t>I och inom 23 meter från avverkningsanmälan finns fynd av 8 naturvårdsarter, varav 6 är rödlistade, 4 är fridlysta, 5 är typiska (T) och 2 är signalarter (S): knärot (VU, T, §8), violett guldvinge (VU, §4a), berggräsfjäril (NT), lunglav (NT, T), tallticka (NT, T), vitfläckig guldvinge (NT), korallrot (S, T, §8)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1.32 ha med buffertzonerna och får av detta skäl inte avverkas.</w:t>
      </w:r>
    </w:p>
    <w:p>
      <w:pPr>
        <w:pStyle w:val="Caption"/>
      </w:pPr>
      <w:r>
        <w:drawing>
          <wp:inline xmlns:a="http://schemas.openxmlformats.org/drawingml/2006/main" xmlns:pic="http://schemas.openxmlformats.org/drawingml/2006/picture">
            <wp:extent cx="5486400" cy="5530109"/>
            <wp:docPr id="2" name="Picture 2"/>
            <wp:cNvGraphicFramePr>
              <a:graphicFrameLocks noChangeAspect="1"/>
            </wp:cNvGraphicFramePr>
            <a:graphic>
              <a:graphicData uri="http://schemas.openxmlformats.org/drawingml/2006/picture">
                <pic:pic>
                  <pic:nvPicPr>
                    <pic:cNvPr id="0" name="A 16924-2026 karta knärot.png"/>
                    <pic:cNvPicPr/>
                  </pic:nvPicPr>
                  <pic:blipFill>
                    <a:blip r:embed="rId17"/>
                    <a:stretch>
                      <a:fillRect/>
                    </a:stretch>
                  </pic:blipFill>
                  <pic:spPr>
                    <a:xfrm>
                      <a:off x="0" y="0"/>
                      <a:ext cx="5486400" cy="55301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6904537, E 534648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