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500-2026 i Ljusdals kommun</w:t>
      </w:r>
    </w:p>
    <w:p>
      <w:r>
        <w:t>Detta klagomål behandlar höga naturvärden i samrådsanmälan S 500-2026 i Ljusdals kommun som inkom 2026-02-20 och omfattar 462,0 ha.</w:t>
      </w:r>
    </w:p>
    <w:p>
      <w:pPr>
        <w:pStyle w:val="Caption"/>
      </w:pPr>
      <w:r>
        <w:drawing>
          <wp:inline xmlns:a="http://schemas.openxmlformats.org/drawingml/2006/main" xmlns:pic="http://schemas.openxmlformats.org/drawingml/2006/picture">
            <wp:extent cx="5486400" cy="4692952"/>
            <wp:docPr id="1" name="Picture 1"/>
            <wp:cNvGraphicFramePr>
              <a:graphicFrameLocks noChangeAspect="1"/>
            </wp:cNvGraphicFramePr>
            <a:graphic>
              <a:graphicData uri="http://schemas.openxmlformats.org/drawingml/2006/picture">
                <pic:pic>
                  <pic:nvPicPr>
                    <pic:cNvPr id="0" name="S 500-2026 karta.png"/>
                    <pic:cNvPicPr/>
                  </pic:nvPicPr>
                  <pic:blipFill>
                    <a:blip r:embed="rId16"/>
                    <a:stretch>
                      <a:fillRect/>
                    </a:stretch>
                  </pic:blipFill>
                  <pic:spPr>
                    <a:xfrm>
                      <a:off x="0" y="0"/>
                      <a:ext cx="5486400" cy="4692952"/>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6848023, E 486181 i SWEREF 99 TM.</w:t>
      </w:r>
    </w:p>
    <w:p>
      <w:r>
        <w:t>I och inom 22 meter från samrådsanmälan finns fynd av 13 naturvårdsarter, varav 5 är rödlistade, 5 är fridlysta, 9 är typiska (T) och 5 är signalarter (S): kolflarnlav (NT, T), lunglav (NT, T), skrovellav (NT, T), vaddporing (NT), vedflamlav (NT), korallblylav (S, T), plattlummer (S, T, §9), spindelblomster (S, T, §8), spädstarr (S, T), stuplav (S, T), spillkråka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5924091"/>
            <wp:docPr id="2" name="Picture 2"/>
            <wp:cNvGraphicFramePr>
              <a:graphicFrameLocks noChangeAspect="1"/>
            </wp:cNvGraphicFramePr>
            <a:graphic>
              <a:graphicData uri="http://schemas.openxmlformats.org/drawingml/2006/picture">
                <pic:pic>
                  <pic:nvPicPr>
                    <pic:cNvPr id="0" name="S 500-2026 karta knärot.png"/>
                    <pic:cNvPicPr/>
                  </pic:nvPicPr>
                  <pic:blipFill>
                    <a:blip r:embed="rId17"/>
                    <a:stretch>
                      <a:fillRect/>
                    </a:stretch>
                  </pic:blipFill>
                  <pic:spPr>
                    <a:xfrm>
                      <a:off x="0" y="0"/>
                      <a:ext cx="5486400" cy="592409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6848023, E 486181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Spädstarr </w:t>
      </w:r>
      <w:r>
        <w:t xml:space="preserve">är typisk art för </w:t>
      </w:r>
      <w:r>
        <w:rPr>
          <w:i/>
        </w:rPr>
        <w:t xml:space="preserve">9080 Lövsumpskog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13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