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23984-2022 i Ljusdals kommun</w:t>
      </w:r>
    </w:p>
    <w:p>
      <w:r>
        <w:t>Denna tillsynsbegäran behandlar höga naturvärden i avverkningsanmälan A 23984-2022 i Ljusdals kommun som inkom 2022-06-10 och omfattar 36,7 ha.</w:t>
      </w:r>
    </w:p>
    <w:p>
      <w:pPr>
        <w:pStyle w:val="Caption"/>
      </w:pPr>
      <w:r>
        <w:drawing>
          <wp:inline xmlns:a="http://schemas.openxmlformats.org/drawingml/2006/main" xmlns:pic="http://schemas.openxmlformats.org/drawingml/2006/picture">
            <wp:extent cx="4276280" cy="5724000"/>
            <wp:docPr id="1" name="Picture 1"/>
            <wp:cNvGraphicFramePr>
              <a:graphicFrameLocks noChangeAspect="1"/>
            </wp:cNvGraphicFramePr>
            <a:graphic>
              <a:graphicData uri="http://schemas.openxmlformats.org/drawingml/2006/picture">
                <pic:pic>
                  <pic:nvPicPr>
                    <pic:cNvPr id="0" name="A 23984-2022 karta.png"/>
                    <pic:cNvPicPr/>
                  </pic:nvPicPr>
                  <pic:blipFill>
                    <a:blip r:embed="rId16"/>
                    <a:stretch>
                      <a:fillRect/>
                    </a:stretch>
                  </pic:blipFill>
                  <pic:spPr>
                    <a:xfrm>
                      <a:off x="0" y="0"/>
                      <a:ext cx="4276280"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6868835, E 560287 i SWEREF 99 TM.</w:t>
      </w:r>
    </w:p>
    <w:p>
      <w:r>
        <w:t>I och inom 20 meter från avverkningsanmälan finns fynd av 21 naturvårdsarter, varav 17 är rödlistade, 3 är fridlysta, 16 är typiska (T) och 3 är signalarter (S): garnlav (VU, T), gränsticka (VU, T), knärot (VU, T, §8), blanksvart spiklav (NT), dropptaggsvamp (NT, T), dvärgbägarlav (NT, T), kolflarnlav (NT, T), kortskaftad ärgspik (NT), lunglav (NT, T), skuggblåslav (NT, T), stjärntagging (NT, T), ullticka (NT, T), vedskivlav (NT, T), vedtrappmossa (NT, T), violettgrå tagellav (NT, T), vitgrynig nållav (NT), vågticka (NT), bollvitmossa (S, T), skinnlav (S, T), spindelblomster (S, T,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2.96 ha med buffertzonerna och får av detta skäl inte avverkas.</w:t>
      </w:r>
    </w:p>
    <w:p>
      <w:pPr>
        <w:pStyle w:val="Caption"/>
      </w:pPr>
      <w:r>
        <w:drawing>
          <wp:inline xmlns:a="http://schemas.openxmlformats.org/drawingml/2006/main" xmlns:pic="http://schemas.openxmlformats.org/drawingml/2006/picture">
            <wp:extent cx="5486400" cy="10897900"/>
            <wp:docPr id="2" name="Picture 2"/>
            <wp:cNvGraphicFramePr>
              <a:graphicFrameLocks noChangeAspect="1"/>
            </wp:cNvGraphicFramePr>
            <a:graphic>
              <a:graphicData uri="http://schemas.openxmlformats.org/drawingml/2006/picture">
                <pic:pic>
                  <pic:nvPicPr>
                    <pic:cNvPr id="0" name="A 23984-2022 karta knärot.png"/>
                    <pic:cNvPicPr/>
                  </pic:nvPicPr>
                  <pic:blipFill>
                    <a:blip r:embed="rId17"/>
                    <a:stretch>
                      <a:fillRect/>
                    </a:stretch>
                  </pic:blipFill>
                  <pic:spPr>
                    <a:xfrm>
                      <a:off x="0" y="0"/>
                      <a:ext cx="5486400" cy="108979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6868835, E 560287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dropptaggsvamp (NT, T), dvärgbägarlav (NT, T), kolflarnlav (NT, T), lunglav (NT, T), skuggblåslav (NT, T), stjärntagging (NT, T), ullticka (NT, T), vedskivlav (NT, T), vedtrappmossa (NT, T), violettgrå tagellav (NT, T), bollvitmossa (S, T), skinnlav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