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52457-2025 i Ljusdals kommun</w:t>
      </w:r>
    </w:p>
    <w:p>
      <w:r>
        <w:t>Denna tillsynsbegäran behandlar höga naturvärden i avverkningsanmälan A 52457-2025 i Ljusdals kommun som inkom 2025-10-24 och omfattar 73,8 ha.</w:t>
      </w:r>
    </w:p>
    <w:p>
      <w:pPr>
        <w:pStyle w:val="Caption"/>
      </w:pPr>
      <w:r>
        <w:drawing>
          <wp:inline xmlns:a="http://schemas.openxmlformats.org/drawingml/2006/main" xmlns:pic="http://schemas.openxmlformats.org/drawingml/2006/picture">
            <wp:extent cx="5211173" cy="5724000"/>
            <wp:docPr id="1" name="Picture 1"/>
            <wp:cNvGraphicFramePr>
              <a:graphicFrameLocks noChangeAspect="1"/>
            </wp:cNvGraphicFramePr>
            <a:graphic>
              <a:graphicData uri="http://schemas.openxmlformats.org/drawingml/2006/picture">
                <pic:pic>
                  <pic:nvPicPr>
                    <pic:cNvPr id="0" name="A 52457-2025 karta.png"/>
                    <pic:cNvPicPr/>
                  </pic:nvPicPr>
                  <pic:blipFill>
                    <a:blip r:embed="rId16"/>
                    <a:stretch>
                      <a:fillRect/>
                    </a:stretch>
                  </pic:blipFill>
                  <pic:spPr>
                    <a:xfrm>
                      <a:off x="0" y="0"/>
                      <a:ext cx="5211173"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6834154, E 494317 i SWEREF 99 TM.</w:t>
      </w:r>
    </w:p>
    <w:p>
      <w:r>
        <w:t>I och inom 25 meter från avverkningsanmälan finns fynd av 30 naturvårdsarter, varav 24 är rödlistade, 5 är fridlysta, 18 är typiska (T) och 4 är signalarter (S): garnlav (VU, T), knärot (VU, T, §8), skrovlig taggsvamp (VU), spadskinn (VU), tallmusseron (VU), blå taggsvamp (NT, T), blågrå svartspik (NT), dropptaggsvamp (NT, T), dvärgbägarlav (NT, T), kolflarnlav (NT, T), lunglav (NT, T), mjölsvärting (NT), mörk kolflarnlav (NT), skrovellav (NT, T), svart taggsvamp (NT), tallticka (NT, T), talltita (NT, §4), tretåig hackspett (NT, T, §4), ullticka (NT, T), vaddporing (NT), vedflamlav (NT), vedskivlav (NT, T), violettgrå tagellav (NT, T), vitgrynig nållav (NT), luddlav (S, T), nästlav (S, T), stuplav (S, T), vedticka (S,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40 fyndplatser för knärot registrerade på Artportalen. Figur 2 visar gränserna för buffertzoner på 50 m, som behöver lämnas kring fyndplatserna för att knärotslokalerna inte ska försvinna vid en avverkning. Av det avverkningsanmälda området överlappar 8.73 ha med buffertzonerna och får av detta skäl inte avverkas.</w:t>
      </w:r>
    </w:p>
    <w:p>
      <w:pPr>
        <w:pStyle w:val="Caption"/>
      </w:pPr>
      <w:r>
        <w:drawing>
          <wp:inline xmlns:a="http://schemas.openxmlformats.org/drawingml/2006/main" xmlns:pic="http://schemas.openxmlformats.org/drawingml/2006/picture">
            <wp:extent cx="5486400" cy="8376403"/>
            <wp:docPr id="2" name="Picture 2"/>
            <wp:cNvGraphicFramePr>
              <a:graphicFrameLocks noChangeAspect="1"/>
            </wp:cNvGraphicFramePr>
            <a:graphic>
              <a:graphicData uri="http://schemas.openxmlformats.org/drawingml/2006/picture">
                <pic:pic>
                  <pic:nvPicPr>
                    <pic:cNvPr id="0" name="A 52457-2025 karta knärot.png"/>
                    <pic:cNvPicPr/>
                  </pic:nvPicPr>
                  <pic:blipFill>
                    <a:blip r:embed="rId17"/>
                    <a:stretch>
                      <a:fillRect/>
                    </a:stretch>
                  </pic:blipFill>
                  <pic:spPr>
                    <a:xfrm>
                      <a:off x="0" y="0"/>
                      <a:ext cx="5486400" cy="83764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6834154, E 494317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Tallmusseron (VU)</w:t>
      </w:r>
      <w:r>
        <w:t xml:space="preserve"> bildar mykorrhiza med tall och kräver troligen lång trädkontinuitet. De flesta fynd är gjorda i sandtallskogar. Slutavverkning, kraftig gallring eller andra skogsbruksåtgärder på sandiga tallhedar, som medför att trädkontinuiteten bryts, utgör största hotet. Tallmusseron är placerad högst upp i Skogsstyrelsens värdepyramid för bedömning av skog med höga naturvärden och globalt rödlistad som nära hotad (NT) vilket innebär att Sverige har ett internationellt ansvar för arten. Kända lokaler bör undantas från storskaligt skogsbruk (IUCN, 2025;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Svart taggsvamp (NT)</w:t>
      </w:r>
      <w:r>
        <w:t xml:space="preserve"> bildar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Minskningstakten uppgår till 25 (15–50) % inom 50 år och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blå taggsvamp (NT, T), dropptaggsvamp (NT, T), dvärgbägarlav (NT, T), kolflarnlav (NT, T), lunglav (NT, T), skrovellav (NT, T), tallticka (NT, T), tretåig hackspett (NT, T, §4), ullticka (NT, T), vedskivlav (NT, T), violettgrå tagellav (NT, T), luddlav (S, T), nästlav (S, T), stuplav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