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i avverkningsanmälan A 67154-2019 i Ljusdals kommun</w:t>
      </w:r>
    </w:p>
    <w:p>
      <w:r>
        <w:t>Detta dokument behandlar höga naturvärden i avverkningsanmälan A 67154-2019 i Ljusdals kommun. Denna avverkningsanmälan inkom 2019-12-12 och omfattar 12,9 ha.</w:t>
      </w:r>
    </w:p>
    <w:p>
      <w:r>
        <w:t>Nedan presenteras fynd av naturvårdsarter som gjorts i det avverkningsanmälda området, samt relevanta utdrag ur standarderna för FSC, Chain of Custody, Controlled Wood och PEFC.</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1 naturvårdsarter hittats: rosenticka (NT). Av dessa är 1 rödlistade. För rödlistade arter har rödlistekategorin angivits inom parentes.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352800"/>
            <wp:docPr id="1" name="Picture 1"/>
            <wp:cNvGraphicFramePr>
              <a:graphicFrameLocks noChangeAspect="1"/>
            </wp:cNvGraphicFramePr>
            <a:graphic>
              <a:graphicData uri="http://schemas.openxmlformats.org/drawingml/2006/picture">
                <pic:pic>
                  <pic:nvPicPr>
                    <pic:cNvPr id="0" name="A 67154-2019 karta.png"/>
                    <pic:cNvPicPr/>
                  </pic:nvPicPr>
                  <pic:blipFill>
                    <a:blip r:embed="rId16"/>
                    <a:stretch>
                      <a:fillRect/>
                    </a:stretch>
                  </pic:blipFill>
                  <pic:spPr>
                    <a:xfrm>
                      <a:off x="0" y="0"/>
                      <a:ext cx="5486400" cy="335280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6842190, E 561010 i SWEREF 99 TM.</w:t>
      </w:r>
    </w:p>
    <w:p>
      <w:r>
        <w:rPr>
          <w:b/>
        </w:rPr>
        <w:t>Rosenticka (NT)</w:t>
      </w:r>
      <w:r>
        <w:t>, rödlistad som nära hotad, ingår i en karaktäristisk association av vedsvampar som växer på gamla, grova granlågor i urskogsartade barrskogar. Den är placerad i toppen av Skogsstyrelsens värdepyramid för bedömning av skog med höga naturvärden och indikerar ett granskogsekosystem med långvarig kontinuitet av grova lågor. Artens beroende av grova granlågor innebär att alla skogsskötselåtgärder på eller i omedelbar närhet av lokalerna utgör ett hot på lång sikt. Det är angeläget att populationerna inte ytterligare glesas ut och ett tillräckligt antal områden där arten nu finns måste sparas för framtiden (Nitare &amp; Skogsstyrelsen, 2019; SLU Artdatabanken, 2024).</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1 naturvårdsarter varav 1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2025-07-05</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