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52457-2025 i Ljusdals kommun</w:t>
      </w:r>
    </w:p>
    <w:p>
      <w:r>
        <w:t>Detta klagomål behandlar höga naturvärden i avverkningsanmälan A 52457-2025 i Ljusdals kommun som inkom 2025-10-24 och omfattar 73,8 ha.</w:t>
      </w:r>
    </w:p>
    <w:p>
      <w:pPr>
        <w:pStyle w:val="Caption"/>
      </w:pPr>
      <w:r>
        <w:drawing>
          <wp:inline xmlns:a="http://schemas.openxmlformats.org/drawingml/2006/main" xmlns:pic="http://schemas.openxmlformats.org/drawingml/2006/picture">
            <wp:extent cx="5211173" cy="5724000"/>
            <wp:docPr id="1" name="Picture 1"/>
            <wp:cNvGraphicFramePr>
              <a:graphicFrameLocks noChangeAspect="1"/>
            </wp:cNvGraphicFramePr>
            <a:graphic>
              <a:graphicData uri="http://schemas.openxmlformats.org/drawingml/2006/picture">
                <pic:pic>
                  <pic:nvPicPr>
                    <pic:cNvPr id="0" name="A 52457-2025 karta.png"/>
                    <pic:cNvPicPr/>
                  </pic:nvPicPr>
                  <pic:blipFill>
                    <a:blip r:embed="rId16"/>
                    <a:stretch>
                      <a:fillRect/>
                    </a:stretch>
                  </pic:blipFill>
                  <pic:spPr>
                    <a:xfrm>
                      <a:off x="0" y="0"/>
                      <a:ext cx="5211173"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6834154, E 494317 i SWEREF 99 TM.</w:t>
      </w:r>
    </w:p>
    <w:p>
      <w:r>
        <w:t>I och inom 25 meter från avverkningsanmälan finns fynd av 30 naturvårdsarter, varav 24 är rödlistade, 5 är fridlysta, 18 är typiska (T) och 4 är signalarter (S): garnlav (VU, T), knärot (VU, T, §8), skrovlig taggsvamp (VU), spadskinn (VU), tallmusseron (VU), blå taggsvamp (NT, T), blågrå svartspik (NT), dropptaggsvamp (NT, T), dvärgbägarlav (NT, T), kolflarnlav (NT, T), lunglav (NT, T), mjölsvärting (NT), mörk kolflarnlav (NT), skrovellav (NT, T), svart taggsvamp (NT), tallticka (NT, T), talltita (NT, §4), tretåig hackspett (NT, T, §4), ullticka (NT, T), vaddporing (NT), vedflamlav (NT), vedskivlav (NT, T), violettgrå tagellav (NT, T), vitgrynig nållav (NT), luddlav (S, T), nästlav (S, T), stuplav (S, T), vedticka (S, T), spillkråka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40 fyndplatser för knärot registrerade på Artportalen. Figur 2 visar gränserna för buffertzoner på 50 m, som behöver lämnas kring fyndplatserna för att knärotslokalerna inte ska försvinna vid en avverkning. Av det avverkningsanmälda området överlappar 8.73 ha med buffertzonerna och får av detta skäl inte avverkas.</w:t>
      </w:r>
    </w:p>
    <w:p>
      <w:pPr>
        <w:pStyle w:val="Caption"/>
      </w:pPr>
      <w:r>
        <w:drawing>
          <wp:inline xmlns:a="http://schemas.openxmlformats.org/drawingml/2006/main" xmlns:pic="http://schemas.openxmlformats.org/drawingml/2006/picture">
            <wp:extent cx="5486400" cy="8376403"/>
            <wp:docPr id="2" name="Picture 2"/>
            <wp:cNvGraphicFramePr>
              <a:graphicFrameLocks noChangeAspect="1"/>
            </wp:cNvGraphicFramePr>
            <a:graphic>
              <a:graphicData uri="http://schemas.openxmlformats.org/drawingml/2006/picture">
                <pic:pic>
                  <pic:nvPicPr>
                    <pic:cNvPr id="0" name="A 52457-2025 karta knärot.png"/>
                    <pic:cNvPicPr/>
                  </pic:nvPicPr>
                  <pic:blipFill>
                    <a:blip r:embed="rId17"/>
                    <a:stretch>
                      <a:fillRect/>
                    </a:stretch>
                  </pic:blipFill>
                  <pic:spPr>
                    <a:xfrm>
                      <a:off x="0" y="0"/>
                      <a:ext cx="5486400" cy="837640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6834154, E 494317 i SWEREF 99 TM.</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Spadskinn (VU)</w:t>
      </w:r>
      <w:r>
        <w:t xml:space="preserve"> är knuten till tallskogar med höga naturvärden och artens potentiella miljöer har minskat kraftigt och fortsätter att minska eftersom äldre sandtallskogar avverkas. Mykorrhiza-arter och andra marklevande svampar påverkas starkt negativt av slutavverkning då alla träd avlägsnas. Spadskinn är globalt rödlistad som sårbar (VU) vilket innebär att Sverige har ett internationellt ansvar för arten. Fler områden där arten förekommer behöver skyddas (SLU Artdatabanken, 2024; Nitare &amp; Skogsstyrelsen, 2019; IUCN, 2019).</w:t>
      </w:r>
    </w:p>
    <w:p>
      <w:r>
        <w:rPr>
          <w:b/>
        </w:rPr>
        <w:t>Tallmusseron (VU)</w:t>
      </w:r>
      <w:r>
        <w:t xml:space="preserve"> bildar mykorrhiza med tall och kräver troligen lång trädkontinuitet. De flesta fynd är gjorda i sandtallskogar. Slutavverkning, kraftig gallring eller andra skogsbruksåtgärder på sandiga tallhedar, som medför att trädkontinuiteten bryts, utgör största hotet. Tallmusseron är placerad högst upp i Skogsstyrelsens värdepyramid för bedömning av skog med höga naturvärden och globalt rödlistad som nära hotad (NT) vilket innebär att Sverige har ett internationellt ansvar för arten. Kända lokaler bör undantas från storskaligt skogsbruk (IUCN, 2025; SLU Artdatabanken, 2024; Nitare &amp; Skogsstyrelsen, 2019).</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Mjölsvärting (NT)</w:t>
      </w:r>
      <w:r>
        <w:t xml:space="preserve"> växer i luckig barrskog, huvudsakligen på tallhed och i äldre skog. Mager, äldre tallskog och barrblandskog med lång trädkontinuitet bör undantas från trakthyggesbruk. Mjölsvärtingens lokaler är ofta nyckelbiotoper och bör då sparas i sin helhet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Svart taggsvamp (NT)</w:t>
      </w:r>
      <w:r>
        <w:t xml:space="preserve"> bildar mykorrhiza med tall, möjligen även med gran, i barrskog på kalkrik eller annan basiskt påverkad mark. Den totala populationen i landet har minskat och bedöms fortsätta minska till följd av avverkning av kalkbarrskogar. Arten har begränsad förmåga att återetablera sig efter slutavverkning eller andra storskaliga skogsbruksåtgärder. Det finns inga indikationer på att arten långsiktigt kan etablera eller reproducera sig i skogsbestånd som brukas med trakthyggesmetoder, markberedning, gödsling eller föryngring med förädlat plantmaterial. Minskningstakten uppgår till 25 (15–50) % inom 50 år och bedöms vara nära gränsvärdet för sårbar (VU)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28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30 naturvårdsarter varav 24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