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6080-2026 i Gävle kommun</w:t>
      </w:r>
    </w:p>
    <w:p>
      <w:r>
        <w:t>Detta klagomål behandlar höga naturvärden i avverkningsanmälan A 6080-2026 i Gävle kommun som inkom 2026-01-30 och omfattar 2,0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A 6080-2026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6721919, E 626678 i SWEREF 99 TM.</w:t>
      </w:r>
    </w:p>
    <w:p>
      <w:r>
        <w:t>Inom 11 meter från avverkningsanmälan finns fynd av 4 naturvårdsarter, varav 4 är rödlistade: bredbrämad bastardsvärmare (VU), mindre bastardsvärmare (VU), ängsblåvinge (VU) och storfläckig kungsnattslända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Storfläckig kungsnattslända (NT)</w:t>
      </w:r>
      <w:r>
        <w:t xml:space="preserve"> lever i syrgasrikt rinnande vatten med medelhöga pH-värden, ofta omgivna av tät och skuggande blandskog. Arten hotas sannolikt av försurning och strandnära skogsbruk. Vid de vatten som idag hyser arten bör man bilda blandskogsbevuxna skyddszoner längs stränderna samt undvika reglering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