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194-2024 i Gävle kommun</w:t>
      </w:r>
    </w:p>
    <w:p>
      <w:r>
        <w:t>Detta klagomål behandlar höga naturvärden i samrådsanmälan S 194-2024 i Gävle kommun som inkom 2024-01-24 och omfattar 67,3 ha.</w:t>
      </w:r>
    </w:p>
    <w:p>
      <w:pPr>
        <w:pStyle w:val="Caption"/>
      </w:pPr>
      <w:r>
        <w:drawing>
          <wp:inline xmlns:a="http://schemas.openxmlformats.org/drawingml/2006/main" xmlns:pic="http://schemas.openxmlformats.org/drawingml/2006/picture">
            <wp:extent cx="4111052" cy="5724000"/>
            <wp:docPr id="1" name="Picture 1"/>
            <wp:cNvGraphicFramePr>
              <a:graphicFrameLocks noChangeAspect="1"/>
            </wp:cNvGraphicFramePr>
            <a:graphic>
              <a:graphicData uri="http://schemas.openxmlformats.org/drawingml/2006/picture">
                <pic:pic>
                  <pic:nvPicPr>
                    <pic:cNvPr id="0" name="S 194-2024 karta.png"/>
                    <pic:cNvPicPr/>
                  </pic:nvPicPr>
                  <pic:blipFill>
                    <a:blip r:embed="rId16"/>
                    <a:stretch>
                      <a:fillRect/>
                    </a:stretch>
                  </pic:blipFill>
                  <pic:spPr>
                    <a:xfrm>
                      <a:off x="0" y="0"/>
                      <a:ext cx="411105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6731196, E 614093 i SWEREF 99 TM.</w:t>
      </w:r>
    </w:p>
    <w:p>
      <w:r>
        <w:t>I och inom 24 meter från samrådsanmälan finns fynd av 5 naturvårdsarter, varav 1 är rödlistad, 1 är fridlyst, 4 är typiska (T) och 3 är signalarter (S): vedtrappmossa (NT, T), bronshjon (S, T), svavelriska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