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55773-2024 i Gävle kommun</w:t>
      </w:r>
    </w:p>
    <w:p>
      <w:r>
        <w:t>Denna tillsynsbegäran behandlar höga naturvärden i avverkningsanmälan A 55773-2024 i Gävle kommun som inkom 2024-11-27 och omfattar 19,2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55773-2024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6709160, E 625259 i SWEREF 99 TM.</w:t>
      </w:r>
    </w:p>
    <w:p>
      <w:r>
        <w:t>I och inom 20 meter från avverkningsanmälan finns fynd av 8 naturvårdsarter, varav 7 är rödlistade, 1 är fridlyst, 5 är typiska (T) och 1 är signalart (S): gyllenfingersvamp (EN), bredgentiana (VU, §8), flattoppad klubbsvamp (NT), kryddspindling (NT, T), rutskinn (NT, T), sårläka (NT, T), vårärt (NT,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kryddspindling (NT, T), rutskinn (NT, T), sårläka (NT, T), vårärt (NT,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