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55773-2024 i Gävle kommun</w:t>
      </w:r>
    </w:p>
    <w:p>
      <w:r>
        <w:t>Detta klagomål behandlar höga naturvärden i avverkningsanmälan A 55773-2024 i Gävle kommun som inkom 2024-11-27 och omfattar 19,2 ha.</w:t>
      </w:r>
    </w:p>
    <w:p>
      <w:pPr>
        <w:pStyle w:val="Caption"/>
      </w:pPr>
      <w:r>
        <w:drawing>
          <wp:inline xmlns:a="http://schemas.openxmlformats.org/drawingml/2006/main" xmlns:pic="http://schemas.openxmlformats.org/drawingml/2006/picture">
            <wp:extent cx="5486400" cy="4805784"/>
            <wp:docPr id="1" name="Picture 1"/>
            <wp:cNvGraphicFramePr>
              <a:graphicFrameLocks noChangeAspect="1"/>
            </wp:cNvGraphicFramePr>
            <a:graphic>
              <a:graphicData uri="http://schemas.openxmlformats.org/drawingml/2006/picture">
                <pic:pic>
                  <pic:nvPicPr>
                    <pic:cNvPr id="0" name="A 55773-2024 karta.png"/>
                    <pic:cNvPicPr/>
                  </pic:nvPicPr>
                  <pic:blipFill>
                    <a:blip r:embed="rId16"/>
                    <a:stretch>
                      <a:fillRect/>
                    </a:stretch>
                  </pic:blipFill>
                  <pic:spPr>
                    <a:xfrm>
                      <a:off x="0" y="0"/>
                      <a:ext cx="5486400" cy="4805784"/>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6709160, E 625259 i SWEREF 99 TM.</w:t>
      </w:r>
    </w:p>
    <w:p>
      <w:r>
        <w:t>I och inom 20 meter från avverkningsanmälan finns fynd av 8 naturvårdsarter, varav 7 är rödlistade, 1 är fridlyst, 5 är typiska (T) och 1 är signalart (S): gyllenfingersvamp (EN), bredgentiana (VU, §8), flattoppad klubbsvamp (NT), kryddspindling (NT, T), rutskinn (NT, T), sårläka (NT, T), vårärt (NT, T) och underviol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Gyllenfingersvamp (EN) </w:t>
      </w:r>
      <w:r>
        <w:t>är en sällsynt och starkt hotad svamp som</w:t>
      </w:r>
      <w:r>
        <w:rPr>
          <w:b/>
        </w:rPr>
        <w:t xml:space="preserve"> </w:t>
      </w:r>
      <w:r>
        <w:t>bildar mykorrhiza med gran, i granskog på rikare mark, framförallt i kalkbarrskogar, ofta i samma växtmiljö som violgubbe.</w:t>
      </w:r>
      <w:r>
        <w:rPr>
          <w:b/>
        </w:rPr>
        <w:t xml:space="preserve"> </w:t>
      </w:r>
      <w:r>
        <w:t>Som naturvårdsindikator är gyllenfingersvamp en ”toppart”. Den är mycket känslig för skogsbruksåtgärder och är aldrig påträffad i sekundärskog. Artens koppling till produktiva äldre granskogar med hög bonitet gör den särskilt utsatt för slutavverkning. Total population i landet bedöms ha minskat kraftigt och fortsatt minska, huvudsakligen p.g.a. slutavverkningar av äldre kontinuitetsskog. Samtliga lokaler bör undantas från rationellt skogsbruk och kalkbarrskogar med gyllenfingersvamp bör få områdesskydd. Arten är placerad högst upp i Skogsstyrelsens värdepyramid för bedömning av skog med höga naturvärden (SLU Artdatabanken, 2026; Nitare &amp; Skogsstyrelsen, 2019).</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Rutskinn (NT)</w:t>
      </w:r>
      <w:r>
        <w:t xml:space="preserve"> är en relativt sällsynt art som växer främst på gammal grov ek och nedfallna grenar av ek, framför allt i ekhagar, men ibland även i mera sluten ädellöv- och blandskog. För att gynna arten måste hagmarker och ädellövskog med grova ekar skyddas och skötas så att en olikåldrig struktur gynnas och de gamla träden får ersättare när de dör. Rutskinn är typisk art för </w:t>
      </w:r>
      <w:r>
        <w:rPr>
          <w:i/>
        </w:rPr>
        <w:t xml:space="preserve">9020 Nordlig ädellövskog, 9160 Näringsrik ekskog </w:t>
      </w:r>
      <w:r>
        <w:t>och</w:t>
      </w:r>
      <w:r>
        <w:rPr>
          <w:i/>
        </w:rPr>
        <w:t xml:space="preserve"> 9190 Näringsfattig ekskog</w:t>
      </w:r>
      <w:r>
        <w:t xml:space="preserve"> (SLU Artdatabanken, 2024; Nitare &amp; Skogsstyrelsen, 2019).</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