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5487-2025 i Gävle kommun</w:t>
      </w:r>
    </w:p>
    <w:p>
      <w:r>
        <w:t>Denna tillsynsbegäran behandlar höga naturvärden i avverkningsanmälan A 5487-2025 i Gävle kommun som inkom 2025-02-05 och omfattar 4,7 ha.</w:t>
      </w:r>
    </w:p>
    <w:p>
      <w:pPr>
        <w:pStyle w:val="Caption"/>
      </w:pPr>
      <w:r>
        <w:drawing>
          <wp:inline xmlns:a="http://schemas.openxmlformats.org/drawingml/2006/main" xmlns:pic="http://schemas.openxmlformats.org/drawingml/2006/picture">
            <wp:extent cx="5486400" cy="5063566"/>
            <wp:docPr id="1" name="Picture 1"/>
            <wp:cNvGraphicFramePr>
              <a:graphicFrameLocks noChangeAspect="1"/>
            </wp:cNvGraphicFramePr>
            <a:graphic>
              <a:graphicData uri="http://schemas.openxmlformats.org/drawingml/2006/picture">
                <pic:pic>
                  <pic:nvPicPr>
                    <pic:cNvPr id="0" name="A 5487-2025 karta.png"/>
                    <pic:cNvPicPr/>
                  </pic:nvPicPr>
                  <pic:blipFill>
                    <a:blip r:embed="rId16"/>
                    <a:stretch>
                      <a:fillRect/>
                    </a:stretch>
                  </pic:blipFill>
                  <pic:spPr>
                    <a:xfrm>
                      <a:off x="0" y="0"/>
                      <a:ext cx="5486400" cy="5063566"/>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6709325, E 611385 i SWEREF 99 TM.</w:t>
      </w:r>
    </w:p>
    <w:p>
      <w:r>
        <w:t>Inom 16 meter från avverkningsanmälan finns fynd av 4 naturvårdsarter, varav 3 är rödlistade, 4 är fridlysta och 2 är typiska (T): pärluggla (EN, T, §4), enkelbeckasin (NT, §4), rödvingetrast (NT, §4) och nattskärra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