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som inkom 2024-05-08 och omfattar 68,6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