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11088-2026 i Gävle kommun</w:t>
      </w:r>
    </w:p>
    <w:p>
      <w:r>
        <w:t>Detta dokument behandlar höga naturvärden i avverkningsanmälan A 11088-2026 i Gävle kommun som inkom 2026-02-26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9 naturvårdsarter hittats: havstrut (EN, §4), gråtrut (VU, §4), duvhök (NT, §4), knytlingsäckmal (NT), rödvingetrast (NT, §4), slåtterfibbla (NT, T), talltita (NT, §4), havsörn (§4) och kråka (§4).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6724100, E 603184 i SWEREF 99 TM.</w:t>
      </w:r>
    </w:p>
    <w:p>
      <w:pPr>
        <w:pStyle w:val="Heading2"/>
      </w:pPr>
      <w:r>
        <w:t>Fridlysta arter</w:t>
      </w:r>
    </w:p>
    <w:p>
      <w:r>
        <w:t>Följande fridlysta arter har sina livsmiljöer och växtplatser i den avverkningsanmälda skogen: havstrut (EN, §4), gråtrut (VU, §4), duvhök (NT, §4), rödvingetrast (NT, §4), talltita (NT, §4), havsörn (§4) och 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