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13487-2026 i Gävle kommun</w:t>
      </w:r>
    </w:p>
    <w:p>
      <w:r>
        <w:t>Denna tillsynsbegäran behandlar höga naturvärden i avverkningsanmälan A 13487-2026 i Gävle kommun som inkom 2026-03-13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60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4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60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6743439, E 610492 i SWEREF 99 TM.</w:t>
      </w:r>
    </w:p>
    <w:p>
      <w:r>
        <w:t>I avverkningsanmälan finns fynd av 2 naturvårdsarter, varav 2 är rödlistade, 2 är fridlysta och 1 är typisk (T): pärluggla (EN, T, §4) och sparvuggla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Se även ytterligare artfakta i BILAGA 1. De påträffade naturvårdsarterna är ett tydligt kvitto på att det rör sig om en skog med höga naturvärden.</w:t>
      </w:r>
    </w:p>
    <w:p>
      <w:r>
        <w:rPr>
          <w:b/>
        </w:rPr>
        <w:t>Pärluggla (EN, §4)</w:t>
      </w:r>
      <w:r>
        <w:t xml:space="preserve"> är en starkt hotad art som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åren. Pärlugglan är beroende av äldre, varierad skog med goda jaktmöjligheter och god tillgång på lämpliga trädhål som boplatser. Hemområdet är i storleksordningen 200–500 hektar, men storleken varierar kraftigt beroende på hur mycket föda det finns. 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ved. Pärluggla är typisk art för </w:t>
      </w:r>
      <w:r>
        <w:rPr>
          <w:i/>
        </w:rPr>
        <w:t>9010 Västlig taiga</w:t>
      </w:r>
      <w:r>
        <w:t xml:space="preserve"> (SLU Artdatabanken, 2026; Skogsstyrelsen, 2016).</w:t>
      </w:r>
    </w:p>
    <w:p>
      <w:r>
        <w:rPr>
          <w:b/>
        </w:rPr>
        <w:t>Sparvuggla (NT, §4)</w:t>
      </w:r>
      <w:r>
        <w:t xml:space="preserve"> är fridlyst enligt 4§ artskyddsförordningen och omfattas av bilaga 1 EU:s fågeldirektiv. Den har minskat med 15 (5–25) % under de senaste 15 åren och minskningstakten för den svenska populationen bedöms vara nära gränsvärdet för Sårbar (VU).  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produktionsskogar. Särskilt avverkning av lövträdsrika kantzoner och igenplantering av gamla inägor (SLU Artdatabanken, 2026; Skogsstyrelsen, 2016).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p>
      <w:r>
        <w:br w:type="page"/>
      </w:r>
    </w:p>
    <w:p>
      <w:pPr>
        <w:pStyle w:val="Title"/>
      </w:pPr>
      <w:r>
        <w:t>BILAGA 1 – Fridlysta arter</w:t>
      </w:r>
    </w:p>
    <w:p>
      <w:pPr>
        <w:pStyle w:val="Heading1"/>
      </w:pPr>
      <w:r>
        <w:t>Pärluggla – ekologi samt krav på livsmiljön</w:t>
      </w:r>
    </w:p>
    <w:p>
      <w:r>
        <w:t xml:space="preserve">Pärluggla (EN, §4) är en starkt hotad art som är typisk art för </w:t>
      </w:r>
      <w:r>
        <w:rPr>
          <w:i/>
        </w:rPr>
        <w:t>9010 Västlig taiga</w:t>
      </w:r>
      <w:r>
        <w:t xml:space="preserve"> och omfattas av bilaga 1 EU:s fågeldirektiv. Beståndet har gradvis minskat sedan början av 1980-talet och efter 2010 tyder data från Svensk Fågeltaxering på att beståndet i det närmaste helt kraschat. Minskningstakten har uppgått till 60 (40–80) % under de senaste 15 åren och överstiger gränsvärdet för starkt hotad (EN) (SLU Artdatabanken, 2026).</w:t>
      </w:r>
    </w:p>
    <w:p>
      <w:r>
        <w:t>Pärlugglan är beroende av äldre, varierad skog med goda jaktmöjligheter och god tillgång på lämpliga trädhål som boplatser. Den förekommer med störst täthet i äldre granskog, med inslag av gamla lövträd och luckor och öppningar i form av mindre hyggen, jordbruksmark och liknande. Den häckar även frekvent i barr- och lövblandskogar av tall, björk och asp, där förutsättningarna att finna boplatser är störst. I sydligaste Sverige häckar den ofta i gamla bokbackar, men den är mycket sällsynt i ren bokskog. Hemområdet är i storleksordningen 200–500 hektar, men storleken varierar kraftigt beroende på hur mycket föda det finns. Under dåliga gnagarår kan pärlugglan jaga upp till 4 km från boet medan den under bra år ofta håller sig inom 1 km (SLU Artdatabanken, 2026).</w:t>
      </w:r>
    </w:p>
    <w:p>
      <w:r>
        <w:t>Undvik skogsbruksåtgärder som kan skada hänsynskrävande miljöer, som till exempel strand- och sumpskogar med naturskogskaraktär, äldre skog på uddar och öar, raviner, klyftor och blockmarker samt berg- och rasbranter, äldre hällmarksskog, äldre sandtallskogar, naturskogsrester, eller äldre trädbestånd med mycket hänglavar eller död ved (Skogsstyrelsen, 2016).</w:t>
      </w:r>
    </w:p>
    <w:p>
      <w:pPr>
        <w:pStyle w:val="Heading2"/>
      </w:pPr>
      <w:r>
        <w:t>Referenser – pärluggla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p>
      <w:r>
        <w:t xml:space="preserve">Skogsstyrelsen, 2016. </w:t>
      </w:r>
      <w:r>
        <w:rPr>
          <w:i/>
        </w:rPr>
        <w:t>Vägledning för hänsyn till pärluggla.</w:t>
      </w:r>
    </w:p>
    <w:p>
      <w:pPr>
        <w:pStyle w:val="Heading1"/>
      </w:pPr>
      <w:r>
        <w:t>Sparvuggla – ekologi samt krav på livsmiljön</w:t>
      </w:r>
    </w:p>
    <w:p>
      <w:r>
        <w:t>Sparvuggla (NT, §4) är fridlyst enligt 4§ artskyddsförordningen och omfattas av bilaga 1 EU:s fågeldirektiv. Den har minskat med 15 (5–25) % under de senaste 15 åren och minskningstakten för den svenska populationen bedöms vara nära gränsvärdet för Sårbar (VU) (SLU Artdatabanken 2026).</w:t>
      </w:r>
    </w:p>
    <w:p>
      <w:r>
        <w:t>Sparvugglan häckar i naturskog samt i klassisk bondeskog och förekommer främst i större skogsområden som domineras av barrblandskog med stort inslag av asp, björk och andra lövträd. Den behöver relativt stora skogsområden och saknas helt i mindre skogar och isolerade dungar. Reviren är i storleksordningen upp till 200 hektar. Sparvugglan missgynnas av överföring av variationsrika bondeskogar till ensartade produktionsskogar – särskilt avverkning av lövträdsrika kantzoner och igenplantering av gamla inägor (Skogsstyrelsen, 2016).</w:t>
      </w:r>
    </w:p>
    <w:p>
      <w:pPr>
        <w:pStyle w:val="Heading2"/>
      </w:pPr>
      <w:r>
        <w:t>Referenser – sparvuggla</w:t>
      </w:r>
    </w:p>
    <w:p>
      <w:r>
        <w:t xml:space="preserve">Skogsstyrelsen, 2016. </w:t>
      </w:r>
      <w:r>
        <w:rPr>
          <w:i/>
        </w:rPr>
        <w:t>Vägledning för hänsyn till sparvuggla.</w:t>
      </w:r>
    </w:p>
    <w:p>
      <w:r>
        <w:t xml:space="preserve">SLU Artdatabanken, 2026. </w:t>
      </w:r>
      <w:r>
        <w:rPr>
          <w:i/>
        </w:rPr>
        <w:t xml:space="preserve">Artfaktablad. Naturvård – artfakta. </w:t>
      </w:r>
      <w:r>
        <w:t>SLU Artdatabanken, Uppsala.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