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11088-2026 i Gävle kommun</w:t>
      </w:r>
    </w:p>
    <w:p>
      <w:r>
        <w:t>Denna tillsynsbegäran behandlar höga naturvärden i avverkningsanmälan A 11088-2026 i Gävle kommun som inkom 2026-02-26 och omfattar 3,8 ha.</w:t>
      </w:r>
    </w:p>
    <w:p>
      <w:pPr>
        <w:pStyle w:val="Caption"/>
      </w:pPr>
      <w:r>
        <w:drawing>
          <wp:inline xmlns:a="http://schemas.openxmlformats.org/drawingml/2006/main" xmlns:pic="http://schemas.openxmlformats.org/drawingml/2006/picture">
            <wp:extent cx="5486400" cy="5141379"/>
            <wp:docPr id="1" name="Picture 1"/>
            <wp:cNvGraphicFramePr>
              <a:graphicFrameLocks noChangeAspect="1"/>
            </wp:cNvGraphicFramePr>
            <a:graphic>
              <a:graphicData uri="http://schemas.openxmlformats.org/drawingml/2006/picture">
                <pic:pic>
                  <pic:nvPicPr>
                    <pic:cNvPr id="0" name="A 11088-2026 karta.png"/>
                    <pic:cNvPicPr/>
                  </pic:nvPicPr>
                  <pic:blipFill>
                    <a:blip r:embed="rId16"/>
                    <a:stretch>
                      <a:fillRect/>
                    </a:stretch>
                  </pic:blipFill>
                  <pic:spPr>
                    <a:xfrm>
                      <a:off x="0" y="0"/>
                      <a:ext cx="5486400" cy="514137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6724100, E 603184 i SWEREF 99 TM.</w:t>
      </w:r>
    </w:p>
    <w:p>
      <w:r>
        <w:t>I och inom 17 meter från avverkningsanmälan finns fynd av 9 naturvårdsarter, varav 7 är rödlistade, 7 är fridlysta och 1 är typisk (T): havstrut (EN, §4), gråtrut (VU, §4), duvhök (NT, §4), knytlingsäckmal (NT), rödvingetrast (NT, §4), slåtterfibbla (NT, T), talltita (NT, §4), havsörn (§4) och kråka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