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55773-2024 i Gävle kommun</w:t>
      </w:r>
    </w:p>
    <w:p>
      <w:r>
        <w:t>Detta dokument behandlar höga naturvärden i avverkningsanmälan A 55773-2024 i Gävle kommun. Denna avverkningsanmälan inkom 2024-11-27 09:25:25 och omfattar 19,2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rutskinn (NT), sårläka (S), underviol (S)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2258"/>
            <wp:docPr id="1" name="Picture 1"/>
            <wp:cNvGraphicFramePr>
              <a:graphicFrameLocks noChangeAspect="1"/>
            </wp:cNvGraphicFramePr>
            <a:graphic>
              <a:graphicData uri="http://schemas.openxmlformats.org/drawingml/2006/picture">
                <pic:pic>
                  <pic:nvPicPr>
                    <pic:cNvPr id="0" name="A 55773-2024 karta.png"/>
                    <pic:cNvPicPr/>
                  </pic:nvPicPr>
                  <pic:blipFill>
                    <a:blip r:embed="rId16"/>
                    <a:stretch>
                      <a:fillRect/>
                    </a:stretch>
                  </pic:blipFill>
                  <pic:spPr>
                    <a:xfrm>
                      <a:off x="0" y="0"/>
                      <a:ext cx="5486400" cy="3632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6709160, E 625259 i SWEREF 99 TM.</w:t>
      </w:r>
    </w:p>
    <w:p>
      <w:r>
        <w:rPr>
          <w:b/>
        </w:rPr>
        <w:t>Rutskinn (NT)</w:t>
      </w:r>
      <w:r>
        <w:t xml:space="preserve"> är en relativt sällsynt art som växer främst på gammal grov ek och nedfallna grenar av ek, framför allt i ekhagar, men ibland även i mera sluten ädellöv- och blandskog. För att gynna arten måste hagmarker och ädellövskog med grova ekar skyddas och skötas så att en olikåldrig struktur gynnas och de gamla träden får ersättare när de dör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