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7362-2025 i Gävle kommun</w:t>
      </w:r>
    </w:p>
    <w:p>
      <w:r>
        <w:t>Detta dokument behandlar höga naturvärden i avverkningsanmälan A 7362-2025 i Gävle kommun. Denna avverkningsanmälan inkom 2025-02-16 15:32:34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gräddticka (VU), knärot (VU, §8), gropticka (NT), orange taggsvamp (NT), vedticka (S) och gröngöling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0995"/>
            <wp:docPr id="1" name="Picture 1"/>
            <wp:cNvGraphicFramePr>
              <a:graphicFrameLocks noChangeAspect="1"/>
            </wp:cNvGraphicFramePr>
            <a:graphic>
              <a:graphicData uri="http://schemas.openxmlformats.org/drawingml/2006/picture">
                <pic:pic>
                  <pic:nvPicPr>
                    <pic:cNvPr id="0" name="A 7362-2025 karta.png"/>
                    <pic:cNvPicPr/>
                  </pic:nvPicPr>
                  <pic:blipFill>
                    <a:blip r:embed="rId16"/>
                    <a:stretch>
                      <a:fillRect/>
                    </a:stretch>
                  </pic:blipFill>
                  <pic:spPr>
                    <a:xfrm>
                      <a:off x="0" y="0"/>
                      <a:ext cx="5486400" cy="53509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6693030, E 603769 i SWEREF 99 TM.</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rPr>
        <w:t>Gräddticka (VU)</w:t>
      </w:r>
      <w:r>
        <w:t xml:space="preserve"> har klassificerats som en ”gammelskogsindikator” och signalerar granskogar med höga naturvärden. Den kräver miljöer med hög och jämn fuktighet och växtplatserna ligger oftast på näringsrik, fuktig eller blöt mark där lågan och den murkna veden hålls konstant fuktig. Slutavverkning av gammelgranskog är ett direkt hot mot artens existens i landet och artens växtplatser måste undantas från skogsbruk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knärot (VU, §8)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1.32 ha med buffertzonerna och får av detta skäl inte avverkas.</w:t>
      </w:r>
    </w:p>
    <w:p>
      <w:pPr>
        <w:pStyle w:val="Caption"/>
      </w:pPr>
      <w:r>
        <w:drawing>
          <wp:inline xmlns:a="http://schemas.openxmlformats.org/drawingml/2006/main" xmlns:pic="http://schemas.openxmlformats.org/drawingml/2006/picture">
            <wp:extent cx="5486400" cy="6731302"/>
            <wp:docPr id="2" name="Picture 2"/>
            <wp:cNvGraphicFramePr>
              <a:graphicFrameLocks noChangeAspect="1"/>
            </wp:cNvGraphicFramePr>
            <a:graphic>
              <a:graphicData uri="http://schemas.openxmlformats.org/drawingml/2006/picture">
                <pic:pic>
                  <pic:nvPicPr>
                    <pic:cNvPr id="0" name="A 7362-2025 karta knärot.png"/>
                    <pic:cNvPicPr/>
                  </pic:nvPicPr>
                  <pic:blipFill>
                    <a:blip r:embed="rId17"/>
                    <a:stretch>
                      <a:fillRect/>
                    </a:stretch>
                  </pic:blipFill>
                  <pic:spPr>
                    <a:xfrm>
                      <a:off x="0" y="0"/>
                      <a:ext cx="5486400" cy="67313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6693030, E 603769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