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20323-2026 i Gävle kommun</w:t>
      </w:r>
    </w:p>
    <w:p>
      <w:r>
        <w:t>Denna tillsynsbegäran behandlar höga naturvärden i avverkningsanmälan A 20323-2026 i Gävle kommun som inkom 2026-04-27 och omfattar 1,4 ha.</w:t>
      </w:r>
    </w:p>
    <w:p>
      <w:pPr>
        <w:pStyle w:val="Caption"/>
      </w:pPr>
      <w:r>
        <w:drawing>
          <wp:inline xmlns:a="http://schemas.openxmlformats.org/drawingml/2006/main" xmlns:pic="http://schemas.openxmlformats.org/drawingml/2006/picture">
            <wp:extent cx="5486400" cy="5507218"/>
            <wp:docPr id="1" name="Picture 1"/>
            <wp:cNvGraphicFramePr>
              <a:graphicFrameLocks noChangeAspect="1"/>
            </wp:cNvGraphicFramePr>
            <a:graphic>
              <a:graphicData uri="http://schemas.openxmlformats.org/drawingml/2006/picture">
                <pic:pic>
                  <pic:nvPicPr>
                    <pic:cNvPr id="0" name="A 20323-2026 karta.png"/>
                    <pic:cNvPicPr/>
                  </pic:nvPicPr>
                  <pic:blipFill>
                    <a:blip r:embed="rId16"/>
                    <a:stretch>
                      <a:fillRect/>
                    </a:stretch>
                  </pic:blipFill>
                  <pic:spPr>
                    <a:xfrm>
                      <a:off x="0" y="0"/>
                      <a:ext cx="5486400" cy="5507218"/>
                    </a:xfrm>
                    <a:prstGeom prst="rect"/>
                  </pic:spPr>
                </pic:pic>
              </a:graphicData>
            </a:graphic>
          </wp:inline>
        </w:drawing>
      </w:r>
    </w:p>
    <w:p>
      <w:pPr>
        <w:pStyle w:val="Caption"/>
        <w:spacing w:after="240"/>
      </w:pPr>
      <w:r>
        <w:t>Figur 1. Fyndplatser för naturvårdsarter i och inom 19 meter från avverkningsanmälan. Markörer utan svart kant är placerade på fyndplatsen. Markörer med svart kant är placerade vid sidan av fyndplatsen och har ett svart streck som visar fyndplatsens exakta position. Kartans mittpunktskoordinat är N 6738814, E 613564 i SWEREF 99 TM.</w:t>
      </w:r>
    </w:p>
    <w:p>
      <w:r>
        <w:t>I och inom 19 meter från avverkningsanmälan finns fynd av 2 naturvårdsarter, varav 2 är fridlysta, 2 är typiska (T) och 1 är signalart (S): grön sköldmossa (S, T, §8)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Grön sköldmossa (§8)</w:t>
      </w:r>
      <w:r>
        <w:t xml:space="preserve"> är typisk art för </w:t>
      </w:r>
      <w:r>
        <w:rPr>
          <w:i/>
        </w:rPr>
        <w:t xml:space="preserve">9010 Taiga </w:t>
      </w:r>
      <w:r>
        <w:t>och</w:t>
      </w:r>
      <w:r>
        <w:rPr>
          <w:i/>
        </w:rPr>
        <w:t xml:space="preserve"> 9750 Svämlövskog</w:t>
      </w:r>
      <w:r>
        <w:t xml:space="preserve"> och omfattas av EU:s art- och habitatdirektiv bilaga 2 vilket innebär att det finns ett uttalat intresse inom Europeiska unionen att bevara arten. Grön sköldmossa kräver skog som har ett speciellt mikroklimat med hög och jämn luftfuktighet i kombination med rik tillgång på död ved (Nitare &amp; Skogsstyrelsen, 2019; SLU Artdatabanken, 2025).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Grön sköldmossa – ekologi samt krav på livsmiljön</w:t>
      </w:r>
    </w:p>
    <w:p>
      <w:r>
        <w:t>Grön sköldmossa (§8) växer på stubbar och lågor av olika trädslag, huvudsakligen i sena nedbrytningsstadier. Den förekommer främst i näringsrika granskogar med stort inslag av löv, arten är kortlivad och antalet kapslar varierar kraftigt mellan olika år. Grön sköldmossa kräver skog som har ett speciellt mikroklimat med hög och jämn luftfuktighet i kombination med rik tillgång på död ved (SLU Artdatabanken, 2021; Nitare &amp; Skogsstyrelsen, 2019).</w:t>
      </w:r>
    </w:p>
    <w:p>
      <w:r>
        <w:t>Arten har sin huvudutbredning i sydöstra Sverige. Allvarligaste hoten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 I praktiken handlar det om åtminstone 50 meter med skyddande skog för att undvika uttorkning av marken (Hallingbäck, personligt meddelande 2022-02-24).</w:t>
      </w:r>
    </w:p>
    <w:p>
      <w:r>
        <w:t xml:space="preserve">Grön sköldmossa är typisk art för </w:t>
      </w:r>
      <w:r>
        <w:rPr>
          <w:i/>
        </w:rPr>
        <w:t xml:space="preserve">9010 Taiga </w:t>
      </w:r>
      <w:r>
        <w:t>och</w:t>
      </w:r>
      <w:r>
        <w:rPr>
          <w:i/>
        </w:rPr>
        <w:t xml:space="preserve"> 9750 Svämlövskog</w:t>
      </w:r>
      <w:r>
        <w:t>, fridlyst enligt 8§ artskyddsförordningen och upptagen i EU:s Habitatdirektiv bilaga 2 vilket innebär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Fridlysningen enligt §§ 8 och 15 Artskyddsförordningen innebär att det är förbjudet att på något sätt skada exemplar av arten, se artskyddsförordningen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2 till art- och habitatdirektivet.</w:t>
      </w:r>
    </w:p>
    <w:p>
      <w:r>
        <w:t>Mark- och miljööverdomstolen (MÖD) har i mål nr M 2019-20 (18 februari 2019) slagit fast att grön sköldmossa (§8) är dispenspliktig och att exemplar av arten inte får skadas utan dispens (MÖD, mål nr M 2019-20).</w:t>
      </w:r>
    </w:p>
    <w:p>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