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515-2022 i Gävle kommun</w:t>
      </w:r>
    </w:p>
    <w:p>
      <w:r>
        <w:t>Detta klagomål behandlar höga naturvärden i samrådsanmälan S 515-2022 i Gävle kommun som inkom 2022-01-27 och omfattar 114,5 ha.</w:t>
      </w:r>
    </w:p>
    <w:p>
      <w:pPr>
        <w:pStyle w:val="Caption"/>
      </w:pPr>
      <w:r>
        <w:drawing>
          <wp:inline xmlns:a="http://schemas.openxmlformats.org/drawingml/2006/main" xmlns:pic="http://schemas.openxmlformats.org/drawingml/2006/picture">
            <wp:extent cx="4250709" cy="5724000"/>
            <wp:docPr id="1" name="Picture 1"/>
            <wp:cNvGraphicFramePr>
              <a:graphicFrameLocks noChangeAspect="1"/>
            </wp:cNvGraphicFramePr>
            <a:graphic>
              <a:graphicData uri="http://schemas.openxmlformats.org/drawingml/2006/picture">
                <pic:pic>
                  <pic:nvPicPr>
                    <pic:cNvPr id="0" name="S 515-2022 karta.png"/>
                    <pic:cNvPicPr/>
                  </pic:nvPicPr>
                  <pic:blipFill>
                    <a:blip r:embed="rId16"/>
                    <a:stretch>
                      <a:fillRect/>
                    </a:stretch>
                  </pic:blipFill>
                  <pic:spPr>
                    <a:xfrm>
                      <a:off x="0" y="0"/>
                      <a:ext cx="4250709" cy="5724000"/>
                    </a:xfrm>
                    <a:prstGeom prst="rect"/>
                  </pic:spPr>
                </pic:pic>
              </a:graphicData>
            </a:graphic>
          </wp:inline>
        </w:drawing>
      </w:r>
    </w:p>
    <w:p>
      <w:pPr>
        <w:pStyle w:val="Caption"/>
        <w:spacing w:after="240"/>
      </w:pPr>
      <w:r>
        <w:t>Figur 1. Fyndplatser för naturvårdsarter i och inom 25 meter från samrådsanmälan. Markörer utan svart kant är placerade på fyndplatsen. Markörer med svart kant är placerade vid sidan av fyndplatsen och har ett svart streck som visar fyndplatsens exakta position. Kartans mittpunktskoordinat är N 6708086, E 617996 i SWEREF 99 TM.</w:t>
      </w:r>
    </w:p>
    <w:p>
      <w:r>
        <w:t>I och inom 25 meter från samrådsanmälan finns fynd av 11 naturvårdsarter, varav 7 är rödlistade, 8 är fridlysta och 1 är typisk (T): väddnätfjäril (VU, §6), brunlångöra (NT, §4a), nordfladdermus (NT, §4a), sotnätfjäril (NT), talltita (NT, §4), vedskivlav (NT, T), vitfläckig guldvinge (NT), dvärgpipistrell (§4a), trollpipistrell (§4a), trädlärka (§4) och vattenfladdermus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Brunlångöra är typisk art för </w:t>
      </w:r>
      <w:r>
        <w:rPr>
          <w:i/>
        </w:rPr>
        <w:t>8310 Grottor</w:t>
      </w:r>
      <w:r>
        <w:t xml:space="preserve"> och </w:t>
      </w:r>
      <w:r>
        <w:rPr>
          <w:i/>
        </w:rPr>
        <w:t>8330</w:t>
      </w:r>
      <w:r>
        <w:t xml:space="preserve"> (SLU Artdatabanken, 2024).</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Trollpipistrell (§4a)</w:t>
      </w:r>
      <w:r>
        <w:t xml:space="preserve"> omfattas av bilaga 4 EU:s art- och habitatdirektiv vilket innebär ett strikt skydd för arten och dess livsmiljöer. Trollpipistrell förekommer i gles barr- och lövskog, i trädbärande beteshagar, i kantzoner mellan skog och odlingsmark, i närheten av sjöar och vattendrag samt i bymiljöer. Den undviker stora öppna miljöer såsom åkrar och hyggen och gynnas av ett landskap med mycket lövträd, vatten och hålträd. Under året utnyttjas många olika miljöer och ett effektivt bevarandearbete måste därför utgå från ett landskapsekologiskt perspektiv. Ett varierat landskap med hög andel äldre lövträd, småvatten, sumpskogar, öppna våtmarker, ängar och betesmarker, är gynnsamt för insekter vilket skapar förutsättningar för fladdermöss att finna tillräckligt med föda (SLU Artdatabanken, 2024).</w:t>
      </w:r>
    </w:p>
    <w:p>
      <w:r>
        <w:rPr>
          <w:b/>
        </w:rPr>
        <w:t>Vattenfladdermus (§4a)</w:t>
      </w:r>
      <w:r>
        <w:t xml:space="preserve"> omfattas av bilaga 4 EU:s art- och habitatdirektiv vilket innebär ett strikt skydd där arten och dess livsmiljöer ska bevaras. Arten förekommer mest vid vatten, vid både sjöar och vattendrag där den födosöker antingen tätt ovanför vattenytan eller i strandskog. Kolonin kan ligga ganska långt från vatten och den kan ibland jaga i skog flera kilometer från vatten. För vattenfladdermusen bör framförallt åtgärder planeras och vidtas i strandnära områden. Sumpskog och hålträd behöver bevaras och återskapas. Gamla träd med grov bark, skador, håligheter eller döda delar bör lämnas och yngre träd (efterträdare) tillåtas finnas kvar och åldras för att säkra framtida förekomst av lämpliga yngelmiljöer. Övervintringsplatser måste skyddas effektivt från störningar. Vattenfladdermus är typisk art för </w:t>
      </w:r>
      <w:r>
        <w:rPr>
          <w:i/>
        </w:rPr>
        <w:t>8310 Grottor</w:t>
      </w:r>
      <w:r>
        <w:t xml:space="preserve"> och </w:t>
      </w:r>
      <w:r>
        <w:rPr>
          <w:i/>
        </w:rPr>
        <w:t>8330 Havsgrottor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11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 xml:space="preserve">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Brunlångöra är typisk art för </w:t>
      </w:r>
      <w:r>
        <w:rPr>
          <w:i/>
        </w:rPr>
        <w:t>8310 Grottor</w:t>
      </w:r>
      <w:r>
        <w:t xml:space="preserve"> och </w:t>
      </w:r>
      <w:r>
        <w:rPr>
          <w:i/>
        </w:rPr>
        <w:t>8330 Havsgrottor</w:t>
      </w:r>
      <w:r>
        <w:t xml:space="preserve">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2026-09-11</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