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63702-2025 i Gävle kommun</w:t>
      </w:r>
    </w:p>
    <w:p>
      <w:r>
        <w:t>Detta dokument behandlar höga naturvärden i avverkningsanmälan A 63702-2025 i Gävle kommun. Denna avverkningsanmälan inkom 2025-12-23 14:22:47 och omfattar 3,6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7 naturvårdsarter hittats: skogsalm (CR), skogsklocka (NT), slåtterfibbla (NT), kalktallört (S), olivspindling (S), skogsknipprot (S, §8) och vårärt (S). Av dessa är 3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526106"/>
            <wp:docPr id="1" name="Picture 1"/>
            <wp:cNvGraphicFramePr>
              <a:graphicFrameLocks noChangeAspect="1"/>
            </wp:cNvGraphicFramePr>
            <a:graphic>
              <a:graphicData uri="http://schemas.openxmlformats.org/drawingml/2006/picture">
                <pic:pic>
                  <pic:nvPicPr>
                    <pic:cNvPr id="0" name="A 63702-2025 karta.png"/>
                    <pic:cNvPicPr/>
                  </pic:nvPicPr>
                  <pic:blipFill>
                    <a:blip r:embed="rId16"/>
                    <a:stretch>
                      <a:fillRect/>
                    </a:stretch>
                  </pic:blipFill>
                  <pic:spPr>
                    <a:xfrm>
                      <a:off x="0" y="0"/>
                      <a:ext cx="5486400" cy="552610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6724129, E 623252 i SWEREF 99 TM.</w:t>
      </w:r>
    </w:p>
    <w:p>
      <w:r>
        <w:rPr>
          <w:b/>
        </w:rPr>
        <w:t>Olivspindling</w:t>
      </w:r>
      <w:r>
        <w:t xml:space="preserve"> växer uteslutande på näringsrik och kalkhaltig skogsmark där den huvudsakligen bildar mykorrhiza med gran och tall. Svampen är en typisk representant för kalkgranskogens särpräglade och rika svampflora. Kalavverkning är ett hot mot arten, eftersom den sannolikt kräver lång kontinuitet av äldre träd. Populationerna i landet bedöms därför minska beroende på slutavverkning av äldre barrskog på kalkhaltig mark (SLU Artdatabanken, 2024; Nitare &amp; Skogsstyrelsen, 2019).</w:t>
      </w:r>
    </w:p>
    <w:p>
      <w:r>
        <w:rPr>
          <w:b/>
        </w:rPr>
        <w:t>Slåtterfibbla (NT)</w:t>
      </w:r>
      <w:r>
        <w:t xml:space="preserve"> är typisk art för </w:t>
      </w:r>
      <w:r>
        <w:rPr>
          <w:i/>
        </w:rPr>
        <w:t xml:space="preserve">9060 Åsbarrskog, 9070 Trädklädd betesmark, 6530 Lövängar, 1610 Åsöar i Östersjön, 6230 Stagg-gräsmarker, 6270 Silikatgräsmarker </w:t>
      </w:r>
      <w:r>
        <w:t>och</w:t>
      </w:r>
      <w:r>
        <w:rPr>
          <w:i/>
        </w:rPr>
        <w:t xml:space="preserve"> 6510 Slåtterängar i låglandet </w:t>
      </w:r>
      <w:r>
        <w:t>(SLU Artdatabanken, 2025).</w:t>
      </w:r>
    </w:p>
    <w:p>
      <w:r>
        <w:rPr>
          <w:b/>
        </w:rPr>
        <w:t>Vårärt</w:t>
      </w:r>
      <w:r>
        <w:t xml:space="preserve"> är en kalkgynnad mullväxt som är knuten till rik lundartad vegetation och har sin huvudsakliga förekomst i sydliga kalklövskogar, lövängen och hässlen. Den har även viktiga förekomster av reliktkaraktär i örtrika kalkgranskogar på frisk eller något fuktig mark i mellersta Sverige. Vårärt är en extra betydelsefull signalart i boreala (och boreonemorala) kalkgranskogar, då dessa förekomster nu är starkt fragmenterade och troligen visar på en flertusenårig ekologisk kontinuitet där spridning och etablering kan ha skett under postglaciala värmetiden. Arten tål inte dagens rationella skogsbruksmetoder. Vårärt är typisk art för </w:t>
      </w:r>
      <w:r>
        <w:rPr>
          <w:i/>
        </w:rPr>
        <w:t xml:space="preserve">9050 Näringsrik granskog, 9020 Nordlig ädellövskog, 9160 Näringsrik ekskog </w:t>
      </w:r>
      <w:r>
        <w:t xml:space="preserve">och </w:t>
      </w:r>
      <w:r>
        <w:rPr>
          <w:i/>
        </w:rPr>
        <w:t>9180 Ädellövskog i branter</w:t>
      </w:r>
      <w:r>
        <w:t>. Den har minskat kraftigt under de senaste åren och enligt artdatabankens preliminära bedömning kommer den att bli rödlistad som nära hotad (NT) i nästa rödlista som kommer 2026 (Nitare &amp; Skogsstyrelsen, 2019; SLU Artdatabanken, 2025).</w:t>
      </w:r>
    </w:p>
    <w:p>
      <w:pPr>
        <w:pStyle w:val="Heading1"/>
      </w:pPr>
      <w:r>
        <w:t>Fridlysta arter</w:t>
      </w:r>
    </w:p>
    <w:p>
      <w:r>
        <w:t>Följande fridlysta arter har sina livsmiljöer och växtplatser i den avverkningsanmälda skogen: skogsknipprot (S, §8).</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0 fyndplatser för knärot registrerade på Artportalen. Figur 2 visar gränserna för buffertzoner på 50 m, som behöver lämnas kring fyndplatserna för att knärotslokalerna inte ska försvinna vid en avverkning. Av det avverkningsanmälda området överlappar 0.09 ha med buffertzonerna och får av detta skäl inte avverkas.</w:t>
      </w:r>
    </w:p>
    <w:p>
      <w:pPr>
        <w:pStyle w:val="Caption"/>
      </w:pPr>
      <w:r>
        <w:drawing>
          <wp:inline xmlns:a="http://schemas.openxmlformats.org/drawingml/2006/main" xmlns:pic="http://schemas.openxmlformats.org/drawingml/2006/picture">
            <wp:extent cx="5486400" cy="6846771"/>
            <wp:docPr id="2" name="Picture 2"/>
            <wp:cNvGraphicFramePr>
              <a:graphicFrameLocks noChangeAspect="1"/>
            </wp:cNvGraphicFramePr>
            <a:graphic>
              <a:graphicData uri="http://schemas.openxmlformats.org/drawingml/2006/picture">
                <pic:pic>
                  <pic:nvPicPr>
                    <pic:cNvPr id="0" name="A 63702-2025 karta knärot.png"/>
                    <pic:cNvPicPr/>
                  </pic:nvPicPr>
                  <pic:blipFill>
                    <a:blip r:embed="rId17"/>
                    <a:stretch>
                      <a:fillRect/>
                    </a:stretch>
                  </pic:blipFill>
                  <pic:spPr>
                    <a:xfrm>
                      <a:off x="0" y="0"/>
                      <a:ext cx="5486400" cy="6846771"/>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6724129, E 623252 i SWEREF 99 TM.</w:t>
      </w:r>
    </w:p>
    <w:p>
      <w:pPr>
        <w:pStyle w:val="Caption"/>
      </w:pPr>
    </w:p>
    <w:p>
      <w:r>
        <w:rPr>
          <w:b/>
        </w:rPr>
        <w:t>Skogsknipprot (§8)</w:t>
      </w:r>
      <w:r>
        <w:t xml:space="preserve"> är fridlyst enligt 8§ artskyddsförordningen och typisk art för </w:t>
      </w:r>
      <w:r>
        <w:rPr>
          <w:i/>
        </w:rPr>
        <w:t>9050 Näringsrik granskog</w:t>
      </w:r>
      <w:r>
        <w:t xml:space="preserve"> (SLU Artdatabanken, 2025).</w:t>
      </w: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2026-02-26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