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1101-2024 i Gävle kommun</w:t>
      </w:r>
    </w:p>
    <w:p>
      <w:r>
        <w:t>Detta klagomål behandlar höga naturvärden i avverkningsanmälan A 1101-2024 i Gävle kommun som inkom 2024-01-11 och omfattar 6,5 ha.</w:t>
      </w:r>
    </w:p>
    <w:p>
      <w:pPr>
        <w:pStyle w:val="Caption"/>
      </w:pPr>
      <w:r>
        <w:drawing>
          <wp:inline xmlns:a="http://schemas.openxmlformats.org/drawingml/2006/main" xmlns:pic="http://schemas.openxmlformats.org/drawingml/2006/picture">
            <wp:extent cx="5486400" cy="5035799"/>
            <wp:docPr id="1" name="Picture 1"/>
            <wp:cNvGraphicFramePr>
              <a:graphicFrameLocks noChangeAspect="1"/>
            </wp:cNvGraphicFramePr>
            <a:graphic>
              <a:graphicData uri="http://schemas.openxmlformats.org/drawingml/2006/picture">
                <pic:pic>
                  <pic:nvPicPr>
                    <pic:cNvPr id="0" name="A 1101-2024 karta.png"/>
                    <pic:cNvPicPr/>
                  </pic:nvPicPr>
                  <pic:blipFill>
                    <a:blip r:embed="rId16"/>
                    <a:stretch>
                      <a:fillRect/>
                    </a:stretch>
                  </pic:blipFill>
                  <pic:spPr>
                    <a:xfrm>
                      <a:off x="0" y="0"/>
                      <a:ext cx="5486400" cy="5035799"/>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6745024, E 613141 i SWEREF 99 TM.</w:t>
      </w:r>
    </w:p>
    <w:p>
      <w:r>
        <w:t>I och inom 20 meter från avverkningsanmälan finns fynd av 6 naturvårdsarter, varav 5 är rödlistade, 1 är fridlyst och 3 är typiska (T): blanksvart spiklav (NT), dropptaggsvamp (NT, T), svartvit taggsvamp (NT), vedskivlav (NT, T), vedtrappmossa (NT, T) och vattenfladdermus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