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14562-2025 i Gävle kommun</w:t>
      </w:r>
    </w:p>
    <w:p>
      <w:r>
        <w:t>Denna tillsynsbegäran behandlar höga naturvärden i avverkningsanmälan A 14562-2025 i Gävle kommun som inkom 2025-03-25 och omfattar 6,9 ha.</w:t>
      </w:r>
    </w:p>
    <w:p>
      <w:pPr>
        <w:pStyle w:val="Caption"/>
      </w:pPr>
      <w:r>
        <w:drawing>
          <wp:inline xmlns:a="http://schemas.openxmlformats.org/drawingml/2006/main" xmlns:pic="http://schemas.openxmlformats.org/drawingml/2006/picture">
            <wp:extent cx="5486400" cy="4973582"/>
            <wp:docPr id="1" name="Picture 1"/>
            <wp:cNvGraphicFramePr>
              <a:graphicFrameLocks noChangeAspect="1"/>
            </wp:cNvGraphicFramePr>
            <a:graphic>
              <a:graphicData uri="http://schemas.openxmlformats.org/drawingml/2006/picture">
                <pic:pic>
                  <pic:nvPicPr>
                    <pic:cNvPr id="0" name="A 14562-2025 karta.png"/>
                    <pic:cNvPicPr/>
                  </pic:nvPicPr>
                  <pic:blipFill>
                    <a:blip r:embed="rId16"/>
                    <a:stretch>
                      <a:fillRect/>
                    </a:stretch>
                  </pic:blipFill>
                  <pic:spPr>
                    <a:xfrm>
                      <a:off x="0" y="0"/>
                      <a:ext cx="5486400" cy="497358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6744464, E 618164 i SWEREF 99 TM.</w:t>
      </w:r>
    </w:p>
    <w:p>
      <w:r>
        <w:t>I och inom 10 meter från avverkningsanmälan finns fynd av 14 naturvårdsarter, varav 9 är rödlistade, 2 är fridlysta, 12 är typiska (T) och 4 är signalarter (S): ask (EN), garnlav (VU, T), knärot (VU, T, §8), doftskinn (NT, T), kattfotslav (NT, T), rosenticka (NT, T), tallticka (NT, T), ullticka (NT, T), vitgrynig nållav (NT), granbarkgnagare (S, T), rävticka (S, T), tibast (S, T), vedticka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1.29 ha med buffertzonerna och får av detta skäl inte avverkas.</w:t>
      </w:r>
    </w:p>
    <w:p>
      <w:pPr>
        <w:pStyle w:val="Caption"/>
      </w:pPr>
      <w:r>
        <w:drawing>
          <wp:inline xmlns:a="http://schemas.openxmlformats.org/drawingml/2006/main" xmlns:pic="http://schemas.openxmlformats.org/drawingml/2006/picture">
            <wp:extent cx="5486400" cy="4726600"/>
            <wp:docPr id="2" name="Picture 2"/>
            <wp:cNvGraphicFramePr>
              <a:graphicFrameLocks noChangeAspect="1"/>
            </wp:cNvGraphicFramePr>
            <a:graphic>
              <a:graphicData uri="http://schemas.openxmlformats.org/drawingml/2006/picture">
                <pic:pic>
                  <pic:nvPicPr>
                    <pic:cNvPr id="0" name="A 14562-2025 karta knärot.png"/>
                    <pic:cNvPicPr/>
                  </pic:nvPicPr>
                  <pic:blipFill>
                    <a:blip r:embed="rId17"/>
                    <a:stretch>
                      <a:fillRect/>
                    </a:stretch>
                  </pic:blipFill>
                  <pic:spPr>
                    <a:xfrm>
                      <a:off x="0" y="0"/>
                      <a:ext cx="5486400" cy="47266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6744464, E 618164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Rävticka</w:t>
      </w:r>
      <w:r>
        <w:t xml:space="preserve"> är typisk art för </w:t>
      </w:r>
      <w:r>
        <w:rPr>
          <w:i/>
        </w:rPr>
        <w:t xml:space="preserve">9010 Taiga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kattfotslav (NT, T), rosenticka (NT, T), tallticka (NT, T), ullticka (NT, T), granbarkgnagare (S, T), rävticka (S, T), tibast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